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67E6">
      <w:pPr>
        <w:autoSpaceDE w:val="0"/>
        <w:autoSpaceDN w:val="0"/>
        <w:adjustRightInd w:val="0"/>
        <w:spacing w:before="240" w:beforeLines="100" w:line="460" w:lineRule="exact"/>
        <w:rPr>
          <w:rFonts w:hint="default" w:ascii="文泉驿微米黑" w:hAnsi="文泉驿微米黑" w:eastAsia="文泉驿微米黑" w:cs="文泉驿微米黑"/>
          <w:kern w:val="0"/>
          <w:sz w:val="32"/>
          <w:szCs w:val="32"/>
          <w:lang w:val="en-US" w:eastAsia="zh-CN"/>
        </w:rPr>
      </w:pPr>
      <w:r>
        <w:rPr>
          <w:rFonts w:hint="eastAsia" w:ascii="文泉驿微米黑" w:hAnsi="文泉驿微米黑" w:eastAsia="文泉驿微米黑" w:cs="文泉驿微米黑"/>
          <w:kern w:val="0"/>
          <w:sz w:val="32"/>
          <w:szCs w:val="32"/>
          <w:lang w:eastAsia="zh-CN"/>
        </w:rPr>
        <w:t>附件</w:t>
      </w:r>
      <w:r>
        <w:rPr>
          <w:rFonts w:hint="eastAsia" w:ascii="文泉驿微米黑" w:hAnsi="文泉驿微米黑" w:eastAsia="文泉驿微米黑" w:cs="文泉驿微米黑"/>
          <w:kern w:val="0"/>
          <w:sz w:val="32"/>
          <w:szCs w:val="32"/>
          <w:lang w:val="en-US" w:eastAsia="zh-CN"/>
        </w:rPr>
        <w:t>2-3</w:t>
      </w:r>
    </w:p>
    <w:p w14:paraId="264E06F7">
      <w:pPr>
        <w:rPr>
          <w:rFonts w:ascii="Times New Roman" w:hAnsi="Times New Roman" w:eastAsia="仿宋_GB2312" w:cs="Times New Roman"/>
          <w:b/>
          <w:bCs/>
          <w:sz w:val="24"/>
        </w:rPr>
      </w:pPr>
    </w:p>
    <w:p w14:paraId="55688404">
      <w:pPr>
        <w:jc w:val="center"/>
        <w:rPr>
          <w:rFonts w:ascii="Times New Roman" w:hAnsi="Times New Roman" w:eastAsia="黑体" w:cs="Times New Roman"/>
          <w:b/>
          <w:sz w:val="72"/>
        </w:rPr>
      </w:pPr>
    </w:p>
    <w:p w14:paraId="79FCA993">
      <w:pPr>
        <w:jc w:val="center"/>
        <w:outlineLvl w:val="1"/>
        <w:rPr>
          <w:rFonts w:ascii="Times New Roman" w:hAnsi="Times New Roman" w:eastAsia="黑体" w:cs="Times New Roman"/>
          <w:b w:val="0"/>
          <w:bCs/>
          <w:sz w:val="72"/>
        </w:rPr>
      </w:pPr>
      <w:bookmarkStart w:id="0" w:name="_Toc156220612"/>
      <w:r>
        <w:rPr>
          <w:rFonts w:ascii="Times New Roman" w:hAnsi="Times New Roman" w:eastAsia="宋体" w:cs="Times New Roman"/>
          <w:b w:val="0"/>
          <w:bCs/>
          <w:sz w:val="72"/>
        </w:rPr>
        <w:t>中外合作办学项目</w:t>
      </w:r>
      <w:bookmarkEnd w:id="0"/>
    </w:p>
    <w:p w14:paraId="1CB323D0">
      <w:pPr>
        <w:jc w:val="center"/>
        <w:rPr>
          <w:rFonts w:ascii="Times New Roman" w:hAnsi="Times New Roman" w:eastAsia="宋体" w:cs="Times New Roman"/>
          <w:b/>
          <w:sz w:val="72"/>
        </w:rPr>
      </w:pPr>
    </w:p>
    <w:p w14:paraId="5B24BC21">
      <w:pPr>
        <w:ind w:left="360" w:hanging="120"/>
        <w:jc w:val="center"/>
        <w:outlineLvl w:val="1"/>
        <w:rPr>
          <w:rFonts w:ascii="Times New Roman" w:hAnsi="Times New Roman" w:eastAsia="宋体" w:cs="Times New Roman"/>
          <w:b w:val="0"/>
          <w:bCs/>
          <w:sz w:val="84"/>
          <w:szCs w:val="84"/>
        </w:rPr>
      </w:pPr>
      <w:bookmarkStart w:id="1" w:name="_Toc156220613"/>
      <w:r>
        <w:rPr>
          <w:rFonts w:ascii="Times New Roman" w:hAnsi="Times New Roman" w:eastAsia="黑体" w:cs="Times New Roman"/>
          <w:b w:val="0"/>
          <w:bCs/>
          <w:sz w:val="84"/>
          <w:szCs w:val="84"/>
        </w:rPr>
        <w:t>自评报告</w:t>
      </w:r>
      <w:bookmarkEnd w:id="1"/>
    </w:p>
    <w:p w14:paraId="3227B41E">
      <w:pPr>
        <w:rPr>
          <w:rFonts w:ascii="Times New Roman" w:hAnsi="Times New Roman" w:eastAsia="宋体" w:cs="Times New Roman"/>
          <w:sz w:val="24"/>
        </w:rPr>
      </w:pPr>
    </w:p>
    <w:p w14:paraId="580DCD94">
      <w:pPr>
        <w:rPr>
          <w:rFonts w:ascii="Times New Roman" w:hAnsi="Times New Roman" w:eastAsia="宋体" w:cs="Times New Roman"/>
          <w:sz w:val="32"/>
        </w:rPr>
      </w:pPr>
    </w:p>
    <w:p w14:paraId="42340099">
      <w:pPr>
        <w:rPr>
          <w:rFonts w:ascii="Times New Roman" w:hAnsi="Times New Roman" w:eastAsia="宋体" w:cs="Times New Roman"/>
          <w:sz w:val="32"/>
        </w:rPr>
      </w:pPr>
    </w:p>
    <w:p w14:paraId="5EF512AC">
      <w:pPr>
        <w:rPr>
          <w:rFonts w:ascii="Times New Roman" w:hAnsi="Times New Roman" w:eastAsia="宋体" w:cs="Times New Roman"/>
          <w:sz w:val="32"/>
        </w:rPr>
      </w:pPr>
    </w:p>
    <w:p w14:paraId="79E0C688">
      <w:pPr>
        <w:rPr>
          <w:rFonts w:ascii="Times New Roman" w:hAnsi="Times New Roman" w:eastAsia="宋体" w:cs="Times New Roman"/>
          <w:sz w:val="24"/>
        </w:rPr>
      </w:pPr>
    </w:p>
    <w:p w14:paraId="3363C85F">
      <w:pPr>
        <w:rPr>
          <w:rFonts w:ascii="Times New Roman" w:hAnsi="Times New Roman" w:eastAsia="宋体" w:cs="Times New Roman"/>
          <w:sz w:val="24"/>
        </w:rPr>
      </w:pPr>
    </w:p>
    <w:p w14:paraId="23284B0A">
      <w:pPr>
        <w:tabs>
          <w:tab w:val="left" w:pos="3198"/>
        </w:tabs>
        <w:ind w:firstLine="1084" w:firstLineChars="300"/>
        <w:rPr>
          <w:rFonts w:hint="eastAsia" w:ascii="Times New Roman" w:hAnsi="Times New Roman" w:cs="Times New Roman"/>
          <w:sz w:val="36"/>
          <w:szCs w:val="36"/>
          <w:u w:val="single"/>
          <w:lang w:val="en-US" w:eastAsia="zh-CN"/>
        </w:rPr>
      </w:pPr>
      <w:r>
        <w:rPr>
          <w:rFonts w:ascii="Times New Roman" w:hAnsi="Times New Roman" w:eastAsia="宋体" w:cs="Times New Roman"/>
          <w:b/>
          <w:sz w:val="36"/>
          <w:szCs w:val="36"/>
        </w:rPr>
        <w:t>项目名称：</w:t>
      </w:r>
      <w:r>
        <w:rPr>
          <w:rFonts w:hint="eastAsia" w:ascii="Times New Roman" w:hAnsi="Times New Roman" w:cs="Times New Roman"/>
          <w:sz w:val="36"/>
          <w:szCs w:val="36"/>
          <w:u w:val="single"/>
          <w:lang w:val="en-US" w:eastAsia="zh-CN"/>
        </w:rPr>
        <w:t>河北金融学院与爱尔兰格里菲斯学院</w:t>
      </w:r>
    </w:p>
    <w:p w14:paraId="4E393F03">
      <w:pPr>
        <w:tabs>
          <w:tab w:val="left" w:pos="3198"/>
        </w:tabs>
        <w:ind w:firstLine="2880" w:firstLineChars="800"/>
        <w:rPr>
          <w:rFonts w:hint="default" w:ascii="Times New Roman" w:hAnsi="Times New Roman" w:cs="Times New Roman"/>
          <w:sz w:val="36"/>
          <w:szCs w:val="36"/>
          <w:u w:val="single"/>
          <w:lang w:val="en-US" w:eastAsia="zh-CN"/>
        </w:rPr>
      </w:pPr>
      <w:r>
        <w:rPr>
          <w:rFonts w:hint="eastAsia" w:ascii="Times New Roman" w:hAnsi="Times New Roman" w:cs="Times New Roman"/>
          <w:sz w:val="36"/>
          <w:szCs w:val="36"/>
          <w:u w:val="single"/>
          <w:lang w:val="en-US" w:eastAsia="zh-CN"/>
        </w:rPr>
        <w:t xml:space="preserve">   合作举办金融服务与管理专业       </w:t>
      </w:r>
    </w:p>
    <w:p w14:paraId="7E4407C7">
      <w:pPr>
        <w:tabs>
          <w:tab w:val="left" w:pos="3198"/>
        </w:tabs>
        <w:ind w:firstLine="2880" w:firstLineChars="800"/>
        <w:rPr>
          <w:rFonts w:hint="default" w:ascii="Times New Roman" w:hAnsi="Times New Roman" w:cs="Times New Roman"/>
          <w:sz w:val="36"/>
          <w:szCs w:val="36"/>
          <w:u w:val="single"/>
          <w:lang w:val="en-US" w:eastAsia="zh-CN"/>
        </w:rPr>
      </w:pPr>
      <w:r>
        <w:rPr>
          <w:rFonts w:hint="eastAsia" w:ascii="Times New Roman" w:hAnsi="Times New Roman" w:cs="Times New Roman"/>
          <w:sz w:val="36"/>
          <w:szCs w:val="36"/>
          <w:u w:val="single"/>
          <w:lang w:val="en-US" w:eastAsia="zh-CN"/>
        </w:rPr>
        <w:t xml:space="preserve">       高等专科教育项目                      </w:t>
      </w:r>
    </w:p>
    <w:p w14:paraId="567B02FB">
      <w:pPr>
        <w:tabs>
          <w:tab w:val="left" w:pos="3198"/>
        </w:tabs>
        <w:ind w:firstLine="1084" w:firstLineChars="300"/>
        <w:rPr>
          <w:rFonts w:ascii="Times New Roman" w:hAnsi="Times New Roman" w:eastAsia="宋体" w:cs="Times New Roman"/>
          <w:sz w:val="24"/>
        </w:rPr>
      </w:pPr>
      <w:r>
        <w:rPr>
          <w:rFonts w:ascii="Times New Roman" w:hAnsi="Times New Roman" w:eastAsia="宋体" w:cs="Times New Roman"/>
          <w:b/>
          <w:sz w:val="36"/>
          <w:szCs w:val="36"/>
        </w:rPr>
        <w:t>办学单位：</w:t>
      </w:r>
      <w:r>
        <w:rPr>
          <w:rFonts w:ascii="Times New Roman" w:hAnsi="Times New Roman" w:eastAsia="宋体" w:cs="Times New Roman"/>
          <w:sz w:val="36"/>
          <w:szCs w:val="36"/>
          <w:u w:val="single"/>
        </w:rPr>
        <w:t xml:space="preserve"> </w:t>
      </w:r>
      <w:r>
        <w:rPr>
          <w:rFonts w:hint="eastAsia" w:ascii="Times New Roman" w:hAnsi="Times New Roman" w:cs="Times New Roman"/>
          <w:sz w:val="36"/>
          <w:szCs w:val="36"/>
          <w:u w:val="single"/>
          <w:lang w:val="en-US" w:eastAsia="zh-CN"/>
        </w:rPr>
        <w:t xml:space="preserve">       河北金融学院</w:t>
      </w:r>
      <w:r>
        <w:rPr>
          <w:rFonts w:ascii="Times New Roman" w:hAnsi="Times New Roman" w:eastAsia="宋体" w:cs="Times New Roman"/>
          <w:sz w:val="36"/>
          <w:szCs w:val="36"/>
          <w:u w:val="single"/>
        </w:rPr>
        <w:t xml:space="preserve">                   </w:t>
      </w:r>
    </w:p>
    <w:p w14:paraId="32149602">
      <w:pPr>
        <w:rPr>
          <w:rFonts w:ascii="Times New Roman" w:hAnsi="Times New Roman" w:eastAsia="宋体" w:cs="Times New Roman"/>
          <w:sz w:val="24"/>
        </w:rPr>
      </w:pPr>
    </w:p>
    <w:p w14:paraId="471F3557">
      <w:pPr>
        <w:rPr>
          <w:rFonts w:ascii="Times New Roman" w:hAnsi="Times New Roman" w:eastAsia="宋体" w:cs="Times New Roman"/>
          <w:sz w:val="24"/>
        </w:rPr>
      </w:pPr>
    </w:p>
    <w:p w14:paraId="6F5D42DE">
      <w:pPr>
        <w:rPr>
          <w:rFonts w:ascii="Times New Roman" w:hAnsi="Times New Roman" w:eastAsia="宋体" w:cs="Times New Roman"/>
          <w:sz w:val="24"/>
        </w:rPr>
      </w:pPr>
    </w:p>
    <w:p w14:paraId="2DB78C17">
      <w:pPr>
        <w:rPr>
          <w:rFonts w:ascii="Times New Roman" w:hAnsi="Times New Roman" w:eastAsia="宋体" w:cs="Times New Roman"/>
          <w:sz w:val="24"/>
        </w:rPr>
      </w:pPr>
    </w:p>
    <w:p w14:paraId="370C6FCC">
      <w:pPr>
        <w:rPr>
          <w:rFonts w:ascii="Times New Roman" w:hAnsi="Times New Roman" w:eastAsia="宋体" w:cs="Times New Roman"/>
          <w:sz w:val="24"/>
          <w:u w:val="thick"/>
        </w:rPr>
      </w:pPr>
    </w:p>
    <w:p w14:paraId="4CFADB30">
      <w:pPr>
        <w:spacing w:line="360" w:lineRule="auto"/>
        <w:jc w:val="center"/>
        <w:rPr>
          <w:rFonts w:ascii="Times New Roman" w:hAnsi="Times New Roman" w:eastAsia="宋体" w:cs="Times New Roman"/>
          <w:sz w:val="32"/>
        </w:rPr>
      </w:pPr>
    </w:p>
    <w:p w14:paraId="1A09B642">
      <w:pPr>
        <w:spacing w:line="360" w:lineRule="auto"/>
        <w:jc w:val="center"/>
        <w:rPr>
          <w:rFonts w:ascii="Times New Roman" w:hAnsi="Times New Roman" w:eastAsia="宋体" w:cs="Times New Roman"/>
          <w:sz w:val="32"/>
        </w:rPr>
      </w:pPr>
      <w:r>
        <w:rPr>
          <w:rFonts w:hint="eastAsia" w:ascii="Times New Roman" w:hAnsi="Times New Roman" w:cs="Times New Roman"/>
          <w:sz w:val="32"/>
          <w:lang w:val="en-US" w:eastAsia="zh-CN"/>
        </w:rPr>
        <w:t>2026</w:t>
      </w:r>
      <w:r>
        <w:rPr>
          <w:rFonts w:ascii="Times New Roman" w:hAnsi="Times New Roman" w:eastAsia="宋体" w:cs="Times New Roman"/>
          <w:sz w:val="32"/>
        </w:rPr>
        <w:t>年</w:t>
      </w:r>
      <w:r>
        <w:rPr>
          <w:rFonts w:hint="eastAsia" w:ascii="Times New Roman" w:hAnsi="Times New Roman" w:cs="Times New Roman"/>
          <w:sz w:val="32"/>
          <w:lang w:val="en-US" w:eastAsia="zh-CN"/>
        </w:rPr>
        <w:t>6</w:t>
      </w:r>
      <w:r>
        <w:rPr>
          <w:rFonts w:ascii="Times New Roman" w:hAnsi="Times New Roman" w:eastAsia="宋体" w:cs="Times New Roman"/>
          <w:sz w:val="32"/>
        </w:rPr>
        <w:t>月</w:t>
      </w:r>
      <w:r>
        <w:rPr>
          <w:rFonts w:hint="eastAsia" w:ascii="Times New Roman" w:hAnsi="Times New Roman" w:cs="Times New Roman"/>
          <w:sz w:val="32"/>
          <w:lang w:val="en-US" w:eastAsia="zh-CN"/>
        </w:rPr>
        <w:t>20</w:t>
      </w:r>
      <w:r>
        <w:rPr>
          <w:rFonts w:ascii="Times New Roman" w:hAnsi="Times New Roman" w:eastAsia="宋体" w:cs="Times New Roman"/>
          <w:sz w:val="32"/>
        </w:rPr>
        <w:t>日填</w:t>
      </w:r>
    </w:p>
    <w:p w14:paraId="5A47CC24">
      <w:pPr>
        <w:rPr>
          <w:rFonts w:ascii="Times New Roman" w:hAnsi="Times New Roman" w:eastAsia="宋体" w:cs="Times New Roman"/>
          <w:b/>
          <w:sz w:val="28"/>
          <w:szCs w:val="28"/>
        </w:rPr>
        <w:sectPr>
          <w:pgSz w:w="11906" w:h="16838"/>
          <w:pgMar w:top="986" w:right="1576" w:bottom="986" w:left="1519" w:header="851" w:footer="992" w:gutter="0"/>
          <w:pgNumType w:fmt="numberInDash"/>
          <w:cols w:space="720" w:num="1"/>
          <w:docGrid w:type="lines" w:linePitch="312" w:charSpace="0"/>
        </w:sectPr>
      </w:pPr>
    </w:p>
    <w:p w14:paraId="3B44E112">
      <w:pPr>
        <w:rPr>
          <w:rFonts w:ascii="Times New Roman" w:hAnsi="Times New Roman" w:eastAsia="宋体" w:cs="Times New Roman"/>
          <w:sz w:val="18"/>
          <w:szCs w:val="18"/>
        </w:rPr>
      </w:pPr>
      <w:r>
        <w:rPr>
          <w:rFonts w:ascii="Times New Roman" w:hAnsi="Times New Roman" w:eastAsia="宋体" w:cs="Times New Roman"/>
          <w:b/>
          <w:sz w:val="28"/>
          <w:szCs w:val="28"/>
        </w:rPr>
        <w:t>一、基本情况信息</w:t>
      </w:r>
    </w:p>
    <w:tbl>
      <w:tblPr>
        <w:tblStyle w:val="5"/>
        <w:tblW w:w="10461" w:type="dxa"/>
        <w:jc w:val="center"/>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Layout w:type="fixed"/>
        <w:tblCellMar>
          <w:top w:w="0" w:type="dxa"/>
          <w:left w:w="108" w:type="dxa"/>
          <w:bottom w:w="0" w:type="dxa"/>
          <w:right w:w="108" w:type="dxa"/>
        </w:tblCellMar>
      </w:tblPr>
      <w:tblGrid>
        <w:gridCol w:w="2357"/>
        <w:gridCol w:w="572"/>
        <w:gridCol w:w="762"/>
        <w:gridCol w:w="180"/>
        <w:gridCol w:w="349"/>
        <w:gridCol w:w="811"/>
        <w:gridCol w:w="143"/>
        <w:gridCol w:w="822"/>
        <w:gridCol w:w="205"/>
        <w:gridCol w:w="1981"/>
        <w:gridCol w:w="2279"/>
      </w:tblGrid>
      <w:tr w14:paraId="2E12181B">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10461" w:type="dxa"/>
            <w:gridSpan w:val="11"/>
            <w:tcBorders>
              <w:bottom w:val="single" w:color="auto" w:sz="12" w:space="0"/>
            </w:tcBorders>
            <w:noWrap w:val="0"/>
            <w:vAlign w:val="center"/>
          </w:tcPr>
          <w:p w14:paraId="24D095B4">
            <w:pPr>
              <w:jc w:val="center"/>
              <w:rPr>
                <w:rFonts w:ascii="Times New Roman" w:hAnsi="Times New Roman" w:eastAsia="宋体" w:cs="Times New Roman"/>
                <w:kern w:val="0"/>
                <w:sz w:val="28"/>
                <w:szCs w:val="24"/>
              </w:rPr>
            </w:pPr>
            <w:r>
              <w:rPr>
                <w:rFonts w:ascii="Times New Roman" w:hAnsi="Times New Roman" w:eastAsia="宋体" w:cs="Times New Roman"/>
                <w:kern w:val="0"/>
                <w:sz w:val="24"/>
                <w:szCs w:val="21"/>
              </w:rPr>
              <w:br w:type="page"/>
            </w:r>
            <w:r>
              <w:rPr>
                <w:rFonts w:ascii="Times New Roman" w:hAnsi="Times New Roman" w:eastAsia="宋体" w:cs="Times New Roman"/>
                <w:b/>
                <w:kern w:val="0"/>
                <w:sz w:val="28"/>
                <w:szCs w:val="24"/>
              </w:rPr>
              <w:t>基本信息</w:t>
            </w:r>
          </w:p>
        </w:tc>
      </w:tr>
      <w:tr w14:paraId="4CBF31B2">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424" w:hRule="atLeast"/>
          <w:jc w:val="center"/>
        </w:trPr>
        <w:tc>
          <w:tcPr>
            <w:tcW w:w="10461" w:type="dxa"/>
            <w:gridSpan w:val="11"/>
            <w:tcBorders>
              <w:bottom w:val="single" w:color="auto" w:sz="12" w:space="0"/>
            </w:tcBorders>
            <w:noWrap w:val="0"/>
            <w:vAlign w:val="center"/>
          </w:tcPr>
          <w:p w14:paraId="70DFDEC3">
            <w:pPr>
              <w:jc w:val="left"/>
              <w:rPr>
                <w:rFonts w:ascii="Times New Roman" w:hAnsi="Times New Roman" w:eastAsia="宋体" w:cs="Times New Roman"/>
                <w:kern w:val="0"/>
                <w:sz w:val="24"/>
                <w:szCs w:val="21"/>
              </w:rPr>
            </w:pPr>
            <w:r>
              <w:rPr>
                <w:rFonts w:ascii="Times New Roman" w:hAnsi="Times New Roman" w:eastAsia="宋体" w:cs="Times New Roman"/>
                <w:b/>
                <w:sz w:val="28"/>
                <w:szCs w:val="28"/>
              </w:rPr>
              <w:t>1</w:t>
            </w:r>
            <w:r>
              <w:rPr>
                <w:rFonts w:ascii="Times New Roman" w:hAnsi="Times New Roman" w:eastAsia="宋体" w:cs="Times New Roman"/>
                <w:b/>
                <w:sz w:val="24"/>
                <w:szCs w:val="24"/>
              </w:rPr>
              <w:t>项目基本信息</w:t>
            </w:r>
          </w:p>
        </w:tc>
      </w:tr>
      <w:tr w14:paraId="02C720AA">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44" w:hRule="atLeast"/>
          <w:jc w:val="center"/>
        </w:trPr>
        <w:tc>
          <w:tcPr>
            <w:tcW w:w="2357" w:type="dxa"/>
            <w:vMerge w:val="restart"/>
            <w:tcBorders>
              <w:top w:val="single" w:color="auto" w:sz="12" w:space="0"/>
            </w:tcBorders>
            <w:noWrap w:val="0"/>
            <w:vAlign w:val="center"/>
          </w:tcPr>
          <w:p w14:paraId="7EB2D92C">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项目名称</w:t>
            </w:r>
          </w:p>
        </w:tc>
        <w:tc>
          <w:tcPr>
            <w:tcW w:w="1334" w:type="dxa"/>
            <w:gridSpan w:val="2"/>
            <w:tcBorders>
              <w:top w:val="single" w:color="auto" w:sz="12" w:space="0"/>
              <w:bottom w:val="single" w:color="auto" w:sz="4" w:space="0"/>
            </w:tcBorders>
            <w:noWrap w:val="0"/>
            <w:vAlign w:val="center"/>
          </w:tcPr>
          <w:p w14:paraId="56E27B6E">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中文名称</w:t>
            </w:r>
          </w:p>
        </w:tc>
        <w:tc>
          <w:tcPr>
            <w:tcW w:w="6770" w:type="dxa"/>
            <w:gridSpan w:val="8"/>
            <w:tcBorders>
              <w:top w:val="single" w:color="auto" w:sz="12" w:space="0"/>
              <w:bottom w:val="single" w:color="auto" w:sz="4" w:space="0"/>
            </w:tcBorders>
            <w:noWrap w:val="0"/>
            <w:vAlign w:val="center"/>
          </w:tcPr>
          <w:p w14:paraId="715FED45">
            <w:pPr>
              <w:adjustRightInd w:val="0"/>
              <w:spacing w:before="40" w:after="40" w:line="312" w:lineRule="atLeast"/>
              <w:textAlignment w:val="baseline"/>
              <w:rPr>
                <w:rFonts w:hint="default" w:ascii="Times New Roman" w:hAnsi="Times New Roman" w:eastAsia="宋体" w:cs="Times New Roman"/>
                <w:kern w:val="0"/>
                <w:sz w:val="20"/>
                <w:lang w:val="en-US" w:eastAsia="zh-CN"/>
              </w:rPr>
            </w:pPr>
            <w:r>
              <w:rPr>
                <w:rFonts w:hint="eastAsia" w:ascii="Times New Roman" w:hAnsi="Times New Roman" w:cs="Times New Roman"/>
                <w:kern w:val="0"/>
                <w:sz w:val="20"/>
                <w:lang w:val="en-US" w:eastAsia="zh-CN"/>
              </w:rPr>
              <w:t>河北金融学院与爱尔兰格里菲斯学院合作举办金融服务与管理专业高等专科教育项目</w:t>
            </w:r>
          </w:p>
        </w:tc>
      </w:tr>
      <w:tr w14:paraId="775FB5B2">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357" w:type="dxa"/>
            <w:vMerge w:val="continue"/>
            <w:noWrap w:val="0"/>
            <w:vAlign w:val="center"/>
          </w:tcPr>
          <w:p w14:paraId="49C2E949">
            <w:pPr>
              <w:adjustRightInd w:val="0"/>
              <w:spacing w:before="40" w:after="40" w:line="312" w:lineRule="atLeast"/>
              <w:jc w:val="center"/>
              <w:textAlignment w:val="baseline"/>
              <w:rPr>
                <w:rFonts w:ascii="Times New Roman" w:hAnsi="Times New Roman" w:eastAsia="宋体" w:cs="Times New Roman"/>
                <w:b/>
                <w:kern w:val="0"/>
                <w:szCs w:val="21"/>
              </w:rPr>
            </w:pPr>
          </w:p>
        </w:tc>
        <w:tc>
          <w:tcPr>
            <w:tcW w:w="1334" w:type="dxa"/>
            <w:gridSpan w:val="2"/>
            <w:tcBorders>
              <w:top w:val="single" w:color="auto" w:sz="4" w:space="0"/>
            </w:tcBorders>
            <w:noWrap w:val="0"/>
            <w:vAlign w:val="center"/>
          </w:tcPr>
          <w:p w14:paraId="031320D2">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英文译名</w:t>
            </w:r>
          </w:p>
        </w:tc>
        <w:tc>
          <w:tcPr>
            <w:tcW w:w="6770" w:type="dxa"/>
            <w:gridSpan w:val="8"/>
            <w:tcBorders>
              <w:top w:val="single" w:color="auto" w:sz="4" w:space="0"/>
            </w:tcBorders>
            <w:shd w:val="clear" w:color="auto" w:fill="auto"/>
            <w:noWrap w:val="0"/>
            <w:vAlign w:val="center"/>
          </w:tcPr>
          <w:p w14:paraId="09E75CFA">
            <w:pPr>
              <w:adjustRightInd w:val="0"/>
              <w:spacing w:before="40" w:after="40" w:line="312" w:lineRule="atLeast"/>
              <w:textAlignment w:val="baseline"/>
              <w:rPr>
                <w:rFonts w:ascii="Times New Roman" w:hAnsi="Times New Roman" w:eastAsia="宋体" w:cs="Times New Roman"/>
                <w:color w:val="auto"/>
                <w:kern w:val="0"/>
                <w:sz w:val="18"/>
                <w:szCs w:val="18"/>
                <w:highlight w:val="none"/>
                <w:lang w:val="en-US" w:eastAsia="zh-CN" w:bidi="ar-SA"/>
              </w:rPr>
            </w:pPr>
            <w:r>
              <w:rPr>
                <w:color w:val="auto"/>
                <w:szCs w:val="21"/>
                <w:highlight w:val="none"/>
              </w:rPr>
              <w:t xml:space="preserve">Diploma of </w:t>
            </w:r>
            <w:r>
              <w:rPr>
                <w:rFonts w:hint="eastAsia"/>
                <w:color w:val="auto"/>
                <w:szCs w:val="21"/>
                <w:highlight w:val="none"/>
                <w:lang w:val="en-US" w:eastAsia="zh-CN"/>
              </w:rPr>
              <w:t>Financial Service and Management</w:t>
            </w:r>
            <w:r>
              <w:rPr>
                <w:color w:val="auto"/>
                <w:szCs w:val="21"/>
                <w:highlight w:val="none"/>
              </w:rPr>
              <w:t xml:space="preserve"> Educational Project Cooperatively Organized by Hebei Finance University and Griffith College</w:t>
            </w:r>
          </w:p>
        </w:tc>
      </w:tr>
      <w:tr w14:paraId="19EF3FF5">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03" w:hRule="atLeast"/>
          <w:jc w:val="center"/>
        </w:trPr>
        <w:tc>
          <w:tcPr>
            <w:tcW w:w="2357" w:type="dxa"/>
            <w:vMerge w:val="restart"/>
            <w:noWrap w:val="0"/>
            <w:vAlign w:val="center"/>
          </w:tcPr>
          <w:p w14:paraId="4BB7F16D">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中外合作办学者</w:t>
            </w:r>
          </w:p>
        </w:tc>
        <w:tc>
          <w:tcPr>
            <w:tcW w:w="1334" w:type="dxa"/>
            <w:gridSpan w:val="2"/>
            <w:noWrap w:val="0"/>
            <w:vAlign w:val="center"/>
          </w:tcPr>
          <w:p w14:paraId="5AE4AF7D">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中方</w:t>
            </w:r>
          </w:p>
        </w:tc>
        <w:tc>
          <w:tcPr>
            <w:tcW w:w="6770" w:type="dxa"/>
            <w:gridSpan w:val="8"/>
            <w:noWrap w:val="0"/>
            <w:vAlign w:val="center"/>
          </w:tcPr>
          <w:p w14:paraId="033D65CD">
            <w:pPr>
              <w:adjustRightInd w:val="0"/>
              <w:spacing w:before="40" w:after="40" w:line="312" w:lineRule="atLeast"/>
              <w:textAlignment w:val="baseline"/>
              <w:rPr>
                <w:rFonts w:hint="eastAsia"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河北金融学院</w:t>
            </w:r>
          </w:p>
        </w:tc>
      </w:tr>
      <w:tr w14:paraId="4C5912CD">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153" w:hRule="atLeast"/>
          <w:jc w:val="center"/>
        </w:trPr>
        <w:tc>
          <w:tcPr>
            <w:tcW w:w="2357" w:type="dxa"/>
            <w:vMerge w:val="continue"/>
            <w:noWrap w:val="0"/>
            <w:vAlign w:val="center"/>
          </w:tcPr>
          <w:p w14:paraId="4CCE60EB">
            <w:pPr>
              <w:adjustRightInd w:val="0"/>
              <w:spacing w:before="40" w:after="40" w:line="312" w:lineRule="atLeast"/>
              <w:jc w:val="center"/>
              <w:textAlignment w:val="baseline"/>
              <w:rPr>
                <w:rFonts w:ascii="Times New Roman" w:hAnsi="Times New Roman" w:eastAsia="宋体" w:cs="Times New Roman"/>
                <w:b/>
                <w:kern w:val="0"/>
                <w:szCs w:val="21"/>
              </w:rPr>
            </w:pPr>
          </w:p>
        </w:tc>
        <w:tc>
          <w:tcPr>
            <w:tcW w:w="572" w:type="dxa"/>
            <w:vMerge w:val="restart"/>
            <w:noWrap w:val="0"/>
            <w:vAlign w:val="center"/>
          </w:tcPr>
          <w:p w14:paraId="6A9B89F7">
            <w:pPr>
              <w:adjustRightInd w:val="0"/>
              <w:spacing w:before="40" w:after="40" w:line="312" w:lineRule="atLeast"/>
              <w:ind w:left="31" w:leftChars="-36" w:right="-76" w:rightChars="-36" w:hanging="107" w:hangingChars="51"/>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外方</w:t>
            </w:r>
          </w:p>
        </w:tc>
        <w:tc>
          <w:tcPr>
            <w:tcW w:w="2102" w:type="dxa"/>
            <w:gridSpan w:val="4"/>
            <w:tcBorders>
              <w:bottom w:val="single" w:color="auto" w:sz="8" w:space="0"/>
            </w:tcBorders>
            <w:noWrap w:val="0"/>
            <w:vAlign w:val="center"/>
          </w:tcPr>
          <w:p w14:paraId="5EF4E145">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国家（地区）名称</w:t>
            </w:r>
          </w:p>
        </w:tc>
        <w:tc>
          <w:tcPr>
            <w:tcW w:w="5430" w:type="dxa"/>
            <w:gridSpan w:val="5"/>
            <w:noWrap w:val="0"/>
            <w:vAlign w:val="center"/>
          </w:tcPr>
          <w:p w14:paraId="6672D8BE">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爱尔兰</w:t>
            </w:r>
          </w:p>
        </w:tc>
      </w:tr>
      <w:tr w14:paraId="74EDD524">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197" w:hRule="atLeast"/>
          <w:jc w:val="center"/>
        </w:trPr>
        <w:tc>
          <w:tcPr>
            <w:tcW w:w="2357" w:type="dxa"/>
            <w:vMerge w:val="continue"/>
            <w:noWrap w:val="0"/>
            <w:vAlign w:val="center"/>
          </w:tcPr>
          <w:p w14:paraId="070B2403">
            <w:pPr>
              <w:adjustRightInd w:val="0"/>
              <w:spacing w:before="40" w:after="40" w:line="312" w:lineRule="atLeast"/>
              <w:jc w:val="center"/>
              <w:textAlignment w:val="baseline"/>
              <w:rPr>
                <w:rFonts w:ascii="Times New Roman" w:hAnsi="Times New Roman" w:eastAsia="宋体" w:cs="Times New Roman"/>
                <w:b/>
                <w:kern w:val="0"/>
                <w:szCs w:val="21"/>
              </w:rPr>
            </w:pPr>
          </w:p>
        </w:tc>
        <w:tc>
          <w:tcPr>
            <w:tcW w:w="572" w:type="dxa"/>
            <w:vMerge w:val="continue"/>
            <w:noWrap w:val="0"/>
            <w:vAlign w:val="center"/>
          </w:tcPr>
          <w:p w14:paraId="31510EF6">
            <w:pPr>
              <w:adjustRightInd w:val="0"/>
              <w:spacing w:before="40" w:after="40" w:line="312" w:lineRule="atLeast"/>
              <w:textAlignment w:val="baseline"/>
              <w:rPr>
                <w:rFonts w:ascii="Times New Roman" w:hAnsi="Times New Roman" w:eastAsia="宋体" w:cs="Times New Roman"/>
                <w:kern w:val="0"/>
                <w:szCs w:val="21"/>
              </w:rPr>
            </w:pPr>
          </w:p>
        </w:tc>
        <w:tc>
          <w:tcPr>
            <w:tcW w:w="762" w:type="dxa"/>
            <w:vMerge w:val="restart"/>
            <w:tcBorders>
              <w:top w:val="single" w:color="auto" w:sz="8" w:space="0"/>
              <w:right w:val="single" w:color="auto" w:sz="8" w:space="0"/>
            </w:tcBorders>
            <w:noWrap w:val="0"/>
            <w:vAlign w:val="center"/>
          </w:tcPr>
          <w:p w14:paraId="7BC61168">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机构</w:t>
            </w:r>
          </w:p>
          <w:p w14:paraId="0FEDF6C6">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 xml:space="preserve">名称 </w:t>
            </w:r>
          </w:p>
        </w:tc>
        <w:tc>
          <w:tcPr>
            <w:tcW w:w="1340" w:type="dxa"/>
            <w:gridSpan w:val="3"/>
            <w:tcBorders>
              <w:top w:val="single" w:color="auto" w:sz="8" w:space="0"/>
              <w:left w:val="single" w:color="auto" w:sz="8" w:space="0"/>
              <w:bottom w:val="single" w:color="auto" w:sz="4" w:space="0"/>
            </w:tcBorders>
            <w:noWrap w:val="0"/>
            <w:vAlign w:val="center"/>
          </w:tcPr>
          <w:p w14:paraId="403BCE3C">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英文名称</w:t>
            </w:r>
          </w:p>
        </w:tc>
        <w:tc>
          <w:tcPr>
            <w:tcW w:w="5430" w:type="dxa"/>
            <w:gridSpan w:val="5"/>
            <w:tcBorders>
              <w:left w:val="single" w:color="auto" w:sz="4" w:space="0"/>
              <w:bottom w:val="single" w:color="auto" w:sz="4" w:space="0"/>
            </w:tcBorders>
            <w:noWrap w:val="0"/>
            <w:vAlign w:val="center"/>
          </w:tcPr>
          <w:p w14:paraId="04B6C077">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Griffith College,Ireland</w:t>
            </w:r>
          </w:p>
        </w:tc>
      </w:tr>
      <w:tr w14:paraId="03DAE0A3">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357" w:type="dxa"/>
            <w:vMerge w:val="continue"/>
            <w:noWrap w:val="0"/>
            <w:vAlign w:val="center"/>
          </w:tcPr>
          <w:p w14:paraId="5E466E76">
            <w:pPr>
              <w:adjustRightInd w:val="0"/>
              <w:spacing w:before="40" w:after="40" w:line="312" w:lineRule="atLeast"/>
              <w:jc w:val="center"/>
              <w:textAlignment w:val="baseline"/>
              <w:rPr>
                <w:rFonts w:ascii="Times New Roman" w:hAnsi="Times New Roman" w:eastAsia="宋体" w:cs="Times New Roman"/>
                <w:b/>
                <w:kern w:val="0"/>
                <w:szCs w:val="21"/>
              </w:rPr>
            </w:pPr>
          </w:p>
        </w:tc>
        <w:tc>
          <w:tcPr>
            <w:tcW w:w="572" w:type="dxa"/>
            <w:vMerge w:val="continue"/>
            <w:noWrap w:val="0"/>
            <w:vAlign w:val="center"/>
          </w:tcPr>
          <w:p w14:paraId="2093CDFF">
            <w:pPr>
              <w:adjustRightInd w:val="0"/>
              <w:spacing w:before="40" w:after="40" w:line="312" w:lineRule="atLeast"/>
              <w:textAlignment w:val="baseline"/>
              <w:rPr>
                <w:rFonts w:ascii="Times New Roman" w:hAnsi="Times New Roman" w:eastAsia="宋体" w:cs="Times New Roman"/>
                <w:kern w:val="0"/>
                <w:szCs w:val="21"/>
              </w:rPr>
            </w:pPr>
          </w:p>
        </w:tc>
        <w:tc>
          <w:tcPr>
            <w:tcW w:w="762" w:type="dxa"/>
            <w:vMerge w:val="continue"/>
            <w:tcBorders>
              <w:bottom w:val="single" w:color="auto" w:sz="8" w:space="0"/>
              <w:right w:val="single" w:color="auto" w:sz="8" w:space="0"/>
            </w:tcBorders>
            <w:noWrap w:val="0"/>
            <w:vAlign w:val="center"/>
          </w:tcPr>
          <w:p w14:paraId="0B618599">
            <w:pPr>
              <w:adjustRightInd w:val="0"/>
              <w:spacing w:before="40" w:after="40" w:line="312" w:lineRule="atLeast"/>
              <w:textAlignment w:val="baseline"/>
              <w:rPr>
                <w:rFonts w:ascii="Times New Roman" w:hAnsi="Times New Roman" w:eastAsia="宋体" w:cs="Times New Roman"/>
                <w:kern w:val="0"/>
                <w:szCs w:val="21"/>
              </w:rPr>
            </w:pPr>
          </w:p>
        </w:tc>
        <w:tc>
          <w:tcPr>
            <w:tcW w:w="1340" w:type="dxa"/>
            <w:gridSpan w:val="3"/>
            <w:tcBorders>
              <w:top w:val="single" w:color="auto" w:sz="4" w:space="0"/>
              <w:left w:val="single" w:color="auto" w:sz="8" w:space="0"/>
              <w:bottom w:val="single" w:color="auto" w:sz="8" w:space="0"/>
            </w:tcBorders>
            <w:noWrap w:val="0"/>
            <w:vAlign w:val="center"/>
          </w:tcPr>
          <w:p w14:paraId="0BA713F8">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中文译名</w:t>
            </w:r>
          </w:p>
        </w:tc>
        <w:tc>
          <w:tcPr>
            <w:tcW w:w="5430" w:type="dxa"/>
            <w:gridSpan w:val="5"/>
            <w:tcBorders>
              <w:top w:val="single" w:color="auto" w:sz="4" w:space="0"/>
              <w:left w:val="single" w:color="auto" w:sz="4" w:space="0"/>
            </w:tcBorders>
            <w:noWrap w:val="0"/>
            <w:vAlign w:val="center"/>
          </w:tcPr>
          <w:p w14:paraId="763473AC">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爱尔兰格里菲斯学院</w:t>
            </w:r>
          </w:p>
        </w:tc>
      </w:tr>
      <w:tr w14:paraId="568A5D22">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82" w:hRule="atLeast"/>
          <w:jc w:val="center"/>
        </w:trPr>
        <w:tc>
          <w:tcPr>
            <w:tcW w:w="2357" w:type="dxa"/>
            <w:noWrap w:val="0"/>
            <w:vAlign w:val="center"/>
          </w:tcPr>
          <w:p w14:paraId="27BAC16A">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办学地址</w:t>
            </w:r>
          </w:p>
        </w:tc>
        <w:tc>
          <w:tcPr>
            <w:tcW w:w="8104" w:type="dxa"/>
            <w:gridSpan w:val="10"/>
            <w:noWrap w:val="0"/>
            <w:vAlign w:val="center"/>
          </w:tcPr>
          <w:p w14:paraId="40106F4B">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河北省保定市恒祥北大街3188号</w:t>
            </w:r>
          </w:p>
        </w:tc>
      </w:tr>
      <w:tr w14:paraId="04DBBF41">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37" w:hRule="atLeast"/>
          <w:jc w:val="center"/>
        </w:trPr>
        <w:tc>
          <w:tcPr>
            <w:tcW w:w="2357" w:type="dxa"/>
            <w:noWrap w:val="0"/>
            <w:vAlign w:val="center"/>
          </w:tcPr>
          <w:p w14:paraId="189EAECA">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项目批准书编号</w:t>
            </w:r>
          </w:p>
        </w:tc>
        <w:tc>
          <w:tcPr>
            <w:tcW w:w="8104" w:type="dxa"/>
            <w:gridSpan w:val="10"/>
            <w:noWrap w:val="0"/>
            <w:vAlign w:val="center"/>
          </w:tcPr>
          <w:p w14:paraId="129E7C7E">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PDE13IE3A20090277N</w:t>
            </w:r>
          </w:p>
        </w:tc>
      </w:tr>
      <w:tr w14:paraId="369A30FA">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82" w:hRule="atLeast"/>
          <w:jc w:val="center"/>
        </w:trPr>
        <w:tc>
          <w:tcPr>
            <w:tcW w:w="2357" w:type="dxa"/>
            <w:noWrap w:val="0"/>
            <w:vAlign w:val="center"/>
          </w:tcPr>
          <w:p w14:paraId="3CBCE53F">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发证机关</w:t>
            </w:r>
          </w:p>
        </w:tc>
        <w:tc>
          <w:tcPr>
            <w:tcW w:w="8104" w:type="dxa"/>
            <w:gridSpan w:val="10"/>
            <w:noWrap w:val="0"/>
            <w:vAlign w:val="center"/>
          </w:tcPr>
          <w:p w14:paraId="7EA64E06">
            <w:pPr>
              <w:adjustRightInd w:val="0"/>
              <w:spacing w:before="40" w:after="40" w:line="312" w:lineRule="atLeast"/>
              <w:textAlignment w:val="baseline"/>
              <w:rPr>
                <w:rFonts w:hint="default" w:ascii="Times New Roman" w:hAnsi="Times New Roman" w:eastAsia="宋体" w:cs="Times New Roman"/>
                <w:kern w:val="0"/>
                <w:szCs w:val="21"/>
                <w:lang w:val="en-US" w:eastAsia="zh-CN"/>
              </w:rPr>
            </w:pPr>
            <w:r>
              <w:rPr>
                <w:rFonts w:hint="eastAsia" w:ascii="Times New Roman" w:hAnsi="Times New Roman" w:cs="Times New Roman"/>
                <w:kern w:val="0"/>
                <w:szCs w:val="21"/>
                <w:lang w:val="en-US" w:eastAsia="zh-CN"/>
              </w:rPr>
              <w:t>河北省教育厅</w:t>
            </w:r>
          </w:p>
        </w:tc>
      </w:tr>
      <w:tr w14:paraId="03C9F47C">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159" w:hRule="atLeast"/>
          <w:jc w:val="center"/>
        </w:trPr>
        <w:tc>
          <w:tcPr>
            <w:tcW w:w="2357" w:type="dxa"/>
            <w:noWrap w:val="0"/>
            <w:vAlign w:val="center"/>
          </w:tcPr>
          <w:p w14:paraId="6D6AF024">
            <w:pPr>
              <w:adjustRightInd w:val="0"/>
              <w:spacing w:before="40" w:after="40" w:line="312" w:lineRule="atLeast"/>
              <w:jc w:val="center"/>
              <w:textAlignment w:val="baseline"/>
              <w:rPr>
                <w:rFonts w:ascii="Times New Roman" w:hAnsi="Times New Roman" w:eastAsia="宋体" w:cs="Times New Roman"/>
                <w:b/>
                <w:kern w:val="0"/>
                <w:szCs w:val="21"/>
                <w:highlight w:val="none"/>
              </w:rPr>
            </w:pPr>
            <w:r>
              <w:rPr>
                <w:rFonts w:ascii="Times New Roman" w:hAnsi="Times New Roman" w:eastAsia="宋体" w:cs="Times New Roman"/>
                <w:b/>
                <w:kern w:val="0"/>
                <w:szCs w:val="21"/>
                <w:highlight w:val="none"/>
              </w:rPr>
              <w:t>发证日期</w:t>
            </w:r>
          </w:p>
        </w:tc>
        <w:tc>
          <w:tcPr>
            <w:tcW w:w="8104" w:type="dxa"/>
            <w:gridSpan w:val="10"/>
            <w:noWrap w:val="0"/>
            <w:vAlign w:val="center"/>
          </w:tcPr>
          <w:p w14:paraId="3746DAF2">
            <w:pPr>
              <w:adjustRightInd w:val="0"/>
              <w:spacing w:before="40" w:after="40" w:line="312" w:lineRule="atLeast"/>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2009</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年</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3</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月</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26</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 xml:space="preserve">日 （ □证书待发     </w:t>
            </w:r>
            <w:r>
              <w:rPr>
                <w:rFonts w:hint="eastAsia" w:ascii="Times New Roman" w:hAnsi="Times New Roman" w:cs="Times New Roman"/>
                <w:kern w:val="0"/>
                <w:szCs w:val="21"/>
                <w:highlight w:val="none"/>
                <w:lang w:eastAsia="zh-CN"/>
              </w:rPr>
              <w:t>☑</w:t>
            </w:r>
            <w:r>
              <w:rPr>
                <w:rFonts w:ascii="Times New Roman" w:hAnsi="Times New Roman" w:eastAsia="宋体" w:cs="Times New Roman"/>
                <w:kern w:val="0"/>
                <w:szCs w:val="21"/>
                <w:highlight w:val="none"/>
              </w:rPr>
              <w:t>证书已发 ）</w:t>
            </w:r>
          </w:p>
        </w:tc>
      </w:tr>
      <w:tr w14:paraId="72F3E7B7">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191" w:hRule="atLeast"/>
          <w:jc w:val="center"/>
        </w:trPr>
        <w:tc>
          <w:tcPr>
            <w:tcW w:w="2357" w:type="dxa"/>
            <w:noWrap w:val="0"/>
            <w:vAlign w:val="center"/>
          </w:tcPr>
          <w:p w14:paraId="008E2859">
            <w:pPr>
              <w:adjustRightInd w:val="0"/>
              <w:spacing w:before="40" w:after="40" w:line="312" w:lineRule="atLeast"/>
              <w:jc w:val="center"/>
              <w:textAlignment w:val="baseline"/>
              <w:rPr>
                <w:rFonts w:ascii="Times New Roman" w:hAnsi="Times New Roman" w:eastAsia="宋体" w:cs="Times New Roman"/>
                <w:b/>
                <w:kern w:val="0"/>
                <w:szCs w:val="21"/>
                <w:highlight w:val="none"/>
              </w:rPr>
            </w:pPr>
            <w:r>
              <w:rPr>
                <w:rFonts w:ascii="Times New Roman" w:hAnsi="Times New Roman" w:eastAsia="宋体" w:cs="Times New Roman"/>
                <w:b/>
                <w:kern w:val="0"/>
                <w:szCs w:val="21"/>
                <w:highlight w:val="none"/>
              </w:rPr>
              <w:t>项目批准书有效期至</w:t>
            </w:r>
          </w:p>
        </w:tc>
        <w:tc>
          <w:tcPr>
            <w:tcW w:w="8104" w:type="dxa"/>
            <w:gridSpan w:val="10"/>
            <w:noWrap w:val="0"/>
            <w:vAlign w:val="center"/>
          </w:tcPr>
          <w:p w14:paraId="39001612">
            <w:pPr>
              <w:adjustRightInd w:val="0"/>
              <w:spacing w:before="40" w:after="40" w:line="312" w:lineRule="atLeast"/>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2027</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年</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12</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月</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31</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日</w:t>
            </w:r>
          </w:p>
        </w:tc>
      </w:tr>
      <w:tr w14:paraId="4DD5CE40">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03" w:hRule="atLeast"/>
          <w:jc w:val="center"/>
        </w:trPr>
        <w:tc>
          <w:tcPr>
            <w:tcW w:w="2357" w:type="dxa"/>
            <w:noWrap w:val="0"/>
            <w:vAlign w:val="center"/>
          </w:tcPr>
          <w:p w14:paraId="69355E74">
            <w:pPr>
              <w:adjustRightInd w:val="0"/>
              <w:spacing w:before="40" w:after="40" w:line="312" w:lineRule="atLeast"/>
              <w:jc w:val="center"/>
              <w:textAlignment w:val="baseline"/>
              <w:rPr>
                <w:rFonts w:ascii="Times New Roman" w:hAnsi="Times New Roman" w:eastAsia="宋体" w:cs="Times New Roman"/>
                <w:b/>
                <w:kern w:val="0"/>
                <w:szCs w:val="21"/>
                <w:highlight w:val="none"/>
              </w:rPr>
            </w:pPr>
            <w:r>
              <w:rPr>
                <w:rFonts w:ascii="Times New Roman" w:hAnsi="Times New Roman" w:eastAsia="宋体" w:cs="Times New Roman"/>
                <w:b/>
                <w:highlight w:val="none"/>
              </w:rPr>
              <w:t>办学合作协议有效期</w:t>
            </w:r>
          </w:p>
        </w:tc>
        <w:tc>
          <w:tcPr>
            <w:tcW w:w="8104" w:type="dxa"/>
            <w:gridSpan w:val="10"/>
            <w:noWrap w:val="0"/>
            <w:vAlign w:val="center"/>
          </w:tcPr>
          <w:p w14:paraId="2FC3D638">
            <w:pPr>
              <w:adjustRightInd w:val="0"/>
              <w:spacing w:before="40" w:after="40" w:line="312" w:lineRule="atLeast"/>
              <w:textAlignment w:val="baseline"/>
              <w:rPr>
                <w:rFonts w:ascii="Times New Roman" w:hAnsi="Times New Roman" w:eastAsia="宋体" w:cs="Times New Roman"/>
                <w:kern w:val="0"/>
                <w:szCs w:val="21"/>
                <w:highlight w:val="none"/>
                <w:u w:val="single"/>
              </w:rPr>
            </w:pP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2018</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年</w:t>
            </w: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4</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月</w:t>
            </w: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3</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 xml:space="preserve">日至 </w:t>
            </w: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2028</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年</w:t>
            </w: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4</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月</w:t>
            </w:r>
            <w:r>
              <w:rPr>
                <w:rFonts w:ascii="Times New Roman" w:hAnsi="Times New Roman" w:eastAsia="宋体" w:cs="Times New Roman"/>
                <w:highlight w:val="none"/>
                <w:u w:val="single"/>
              </w:rPr>
              <w:t xml:space="preserve"> </w:t>
            </w:r>
            <w:r>
              <w:rPr>
                <w:rFonts w:hint="eastAsia" w:ascii="Times New Roman" w:hAnsi="Times New Roman" w:cs="Times New Roman"/>
                <w:highlight w:val="none"/>
                <w:u w:val="single"/>
                <w:lang w:val="en-US" w:eastAsia="zh-CN"/>
              </w:rPr>
              <w:t>3</w:t>
            </w:r>
            <w:r>
              <w:rPr>
                <w:rFonts w:ascii="Times New Roman" w:hAnsi="Times New Roman" w:eastAsia="宋体" w:cs="Times New Roman"/>
                <w:highlight w:val="none"/>
                <w:u w:val="single"/>
              </w:rPr>
              <w:t xml:space="preserve"> </w:t>
            </w:r>
            <w:r>
              <w:rPr>
                <w:rFonts w:ascii="Times New Roman" w:hAnsi="Times New Roman" w:eastAsia="宋体" w:cs="Times New Roman"/>
                <w:highlight w:val="none"/>
              </w:rPr>
              <w:t>日</w:t>
            </w:r>
          </w:p>
        </w:tc>
      </w:tr>
      <w:tr w14:paraId="79B75B6A">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436" w:hRule="atLeast"/>
          <w:jc w:val="center"/>
        </w:trPr>
        <w:tc>
          <w:tcPr>
            <w:tcW w:w="2357" w:type="dxa"/>
            <w:noWrap w:val="0"/>
            <w:vAlign w:val="center"/>
          </w:tcPr>
          <w:p w14:paraId="06019BEA">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办学层次和类别</w:t>
            </w:r>
          </w:p>
        </w:tc>
        <w:tc>
          <w:tcPr>
            <w:tcW w:w="8104" w:type="dxa"/>
            <w:gridSpan w:val="10"/>
            <w:noWrap w:val="0"/>
            <w:vAlign w:val="center"/>
          </w:tcPr>
          <w:p w14:paraId="62B0CDAD">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办学层次：</w:t>
            </w:r>
            <w:r>
              <w:rPr>
                <w:rFonts w:hint="eastAsia" w:ascii="Times New Roman" w:hAnsi="Times New Roman" w:cs="Times New Roman"/>
                <w:kern w:val="0"/>
                <w:szCs w:val="21"/>
                <w:lang w:eastAsia="zh-CN"/>
              </w:rPr>
              <w:t>☑</w:t>
            </w:r>
            <w:r>
              <w:rPr>
                <w:rFonts w:hint="eastAsia" w:ascii="Times New Roman" w:hAnsi="Times New Roman" w:eastAsia="宋体" w:cs="Times New Roman"/>
                <w:kern w:val="0"/>
                <w:szCs w:val="21"/>
                <w:lang w:eastAsia="zh-CN"/>
              </w:rPr>
              <w:t>专</w:t>
            </w:r>
            <w:r>
              <w:rPr>
                <w:rFonts w:ascii="Times New Roman" w:hAnsi="Times New Roman" w:eastAsia="宋体" w:cs="Times New Roman"/>
                <w:kern w:val="0"/>
                <w:szCs w:val="21"/>
              </w:rPr>
              <w:t>科</w:t>
            </w:r>
            <w:r>
              <w:rPr>
                <w:rFonts w:hint="eastAsia" w:ascii="Times New Roman" w:hAnsi="Times New Roman" w:eastAsia="宋体" w:cs="Times New Roman"/>
                <w:kern w:val="0"/>
                <w:szCs w:val="21"/>
                <w:lang w:val="en-US" w:eastAsia="zh-CN"/>
              </w:rPr>
              <w:t xml:space="preserve"> </w:t>
            </w:r>
          </w:p>
          <w:p w14:paraId="70207858">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color w:val="auto"/>
                <w:kern w:val="0"/>
                <w:szCs w:val="21"/>
              </w:rPr>
              <w:t>类    别：</w:t>
            </w:r>
            <w:r>
              <w:rPr>
                <w:rFonts w:ascii="Times New Roman" w:hAnsi="Times New Roman" w:eastAsia="宋体" w:cs="Times New Roman"/>
                <w:color w:val="auto"/>
                <w:kern w:val="0"/>
                <w:szCs w:val="21"/>
              </w:rPr>
              <w:sym w:font="Wingdings 2" w:char="00A3"/>
            </w:r>
            <w:r>
              <w:rPr>
                <w:rFonts w:ascii="Times New Roman" w:hAnsi="Times New Roman" w:eastAsia="宋体" w:cs="Times New Roman"/>
                <w:color w:val="auto"/>
                <w:kern w:val="0"/>
                <w:szCs w:val="21"/>
              </w:rPr>
              <w:t>学历教育   □非学历</w:t>
            </w:r>
            <w:r>
              <w:rPr>
                <w:rFonts w:ascii="Times New Roman" w:hAnsi="Times New Roman" w:eastAsia="宋体" w:cs="Times New Roman"/>
                <w:kern w:val="0"/>
                <w:szCs w:val="21"/>
              </w:rPr>
              <w:t>教育</w:t>
            </w:r>
          </w:p>
        </w:tc>
      </w:tr>
      <w:tr w14:paraId="5706CAF3">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82" w:hRule="atLeast"/>
          <w:jc w:val="center"/>
        </w:trPr>
        <w:tc>
          <w:tcPr>
            <w:tcW w:w="2357" w:type="dxa"/>
            <w:noWrap w:val="0"/>
            <w:vAlign w:val="center"/>
          </w:tcPr>
          <w:p w14:paraId="520BE42C">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开设专业的名称及代码</w:t>
            </w:r>
          </w:p>
        </w:tc>
        <w:tc>
          <w:tcPr>
            <w:tcW w:w="8104" w:type="dxa"/>
            <w:gridSpan w:val="10"/>
            <w:noWrap w:val="0"/>
            <w:vAlign w:val="center"/>
          </w:tcPr>
          <w:p w14:paraId="552F5C30">
            <w:pPr>
              <w:adjustRightInd w:val="0"/>
              <w:spacing w:before="40" w:after="40" w:line="312" w:lineRule="atLeast"/>
              <w:ind w:firstLine="105" w:firstLineChars="50"/>
              <w:textAlignment w:val="baseline"/>
              <w:rPr>
                <w:rFonts w:ascii="Times New Roman" w:hAnsi="Times New Roman" w:eastAsia="宋体" w:cs="Times New Roman"/>
                <w:kern w:val="0"/>
                <w:szCs w:val="21"/>
                <w:u w:val="single"/>
              </w:rPr>
            </w:pPr>
            <w:r>
              <w:rPr>
                <w:rFonts w:ascii="Times New Roman" w:hAnsi="Times New Roman" w:eastAsia="宋体" w:cs="Times New Roman"/>
                <w:kern w:val="0"/>
                <w:szCs w:val="21"/>
              </w:rPr>
              <w:t>专业名称：</w:t>
            </w:r>
            <w:r>
              <w:rPr>
                <w:rFonts w:ascii="Times New Roman" w:hAnsi="Times New Roman" w:eastAsia="宋体" w:cs="Times New Roman"/>
                <w:kern w:val="0"/>
                <w:szCs w:val="21"/>
                <w:u w:val="single"/>
              </w:rPr>
              <w:t xml:space="preserve"> </w:t>
            </w:r>
            <w:r>
              <w:rPr>
                <w:rFonts w:hint="eastAsia" w:ascii="Times New Roman" w:hAnsi="Times New Roman" w:cs="Times New Roman"/>
                <w:kern w:val="0"/>
                <w:szCs w:val="21"/>
                <w:u w:val="single"/>
                <w:lang w:val="en-US" w:eastAsia="zh-CN"/>
              </w:rPr>
              <w:t>金融服务与管理</w:t>
            </w:r>
            <w:r>
              <w:rPr>
                <w:rFonts w:ascii="Times New Roman" w:hAnsi="Times New Roman" w:eastAsia="宋体" w:cs="Times New Roman"/>
                <w:kern w:val="0"/>
                <w:szCs w:val="21"/>
                <w:u w:val="single"/>
              </w:rPr>
              <w:t xml:space="preserve">     </w:t>
            </w:r>
            <w:r>
              <w:rPr>
                <w:rFonts w:ascii="Times New Roman" w:hAnsi="Times New Roman" w:eastAsia="宋体" w:cs="Times New Roman"/>
                <w:kern w:val="0"/>
                <w:szCs w:val="21"/>
              </w:rPr>
              <w:t xml:space="preserve">          专业代码：</w:t>
            </w:r>
            <w:r>
              <w:rPr>
                <w:rFonts w:ascii="Times New Roman" w:hAnsi="Times New Roman" w:eastAsia="宋体" w:cs="Times New Roman"/>
                <w:kern w:val="0"/>
                <w:szCs w:val="21"/>
                <w:u w:val="single"/>
              </w:rPr>
              <w:t xml:space="preserve"> </w:t>
            </w:r>
            <w:r>
              <w:rPr>
                <w:rFonts w:hint="eastAsia" w:ascii="Times New Roman" w:hAnsi="Times New Roman" w:cs="Times New Roman"/>
                <w:kern w:val="0"/>
                <w:szCs w:val="21"/>
                <w:u w:val="single"/>
                <w:lang w:val="en-US" w:eastAsia="zh-CN"/>
              </w:rPr>
              <w:t>530201H</w:t>
            </w:r>
            <w:r>
              <w:rPr>
                <w:rFonts w:ascii="Times New Roman" w:hAnsi="Times New Roman" w:eastAsia="宋体" w:cs="Times New Roman"/>
                <w:kern w:val="0"/>
                <w:szCs w:val="21"/>
                <w:u w:val="single"/>
              </w:rPr>
              <w:t xml:space="preserve">  </w:t>
            </w:r>
          </w:p>
        </w:tc>
      </w:tr>
      <w:tr w14:paraId="042BA4B4">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491" w:hRule="exact"/>
          <w:jc w:val="center"/>
        </w:trPr>
        <w:tc>
          <w:tcPr>
            <w:tcW w:w="2357" w:type="dxa"/>
            <w:noWrap w:val="0"/>
            <w:vAlign w:val="center"/>
          </w:tcPr>
          <w:p w14:paraId="7A9B9B70">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专业</w:t>
            </w:r>
            <w:r>
              <w:rPr>
                <w:rFonts w:hint="eastAsia" w:ascii="Times New Roman" w:hAnsi="Times New Roman" w:cs="Times New Roman"/>
                <w:b/>
                <w:kern w:val="0"/>
                <w:szCs w:val="21"/>
                <w:lang w:eastAsia="zh-CN"/>
              </w:rPr>
              <w:t>大类</w:t>
            </w:r>
            <w:r>
              <w:rPr>
                <w:rFonts w:ascii="Times New Roman" w:hAnsi="Times New Roman" w:eastAsia="宋体" w:cs="Times New Roman"/>
                <w:b/>
                <w:kern w:val="0"/>
                <w:szCs w:val="21"/>
              </w:rPr>
              <w:t>及代码</w:t>
            </w:r>
          </w:p>
        </w:tc>
        <w:tc>
          <w:tcPr>
            <w:tcW w:w="1863" w:type="dxa"/>
            <w:gridSpan w:val="4"/>
            <w:noWrap w:val="0"/>
            <w:vAlign w:val="center"/>
          </w:tcPr>
          <w:p w14:paraId="4316AF3C">
            <w:pPr>
              <w:adjustRightInd w:val="0"/>
              <w:spacing w:before="40" w:after="40" w:line="312" w:lineRule="atLeast"/>
              <w:textAlignment w:val="baseline"/>
              <w:rPr>
                <w:rFonts w:ascii="Times New Roman" w:hAnsi="Times New Roman" w:eastAsia="宋体" w:cs="Times New Roman"/>
                <w:kern w:val="0"/>
                <w:szCs w:val="21"/>
                <w:highlight w:val="none"/>
                <w:u w:val="single"/>
              </w:rPr>
            </w:pPr>
            <w:r>
              <w:rPr>
                <w:rFonts w:hint="eastAsia" w:ascii="Times New Roman" w:hAnsi="Times New Roman" w:cs="Times New Roman"/>
                <w:kern w:val="0"/>
                <w:szCs w:val="21"/>
                <w:highlight w:val="none"/>
                <w:lang w:eastAsia="zh-CN"/>
              </w:rPr>
              <w:t>专业大类</w:t>
            </w:r>
            <w:r>
              <w:rPr>
                <w:rFonts w:ascii="Times New Roman" w:hAnsi="Times New Roman" w:eastAsia="宋体" w:cs="Times New Roman"/>
                <w:kern w:val="0"/>
                <w:szCs w:val="21"/>
                <w:highlight w:val="none"/>
              </w:rPr>
              <w:t>名称</w:t>
            </w:r>
          </w:p>
        </w:tc>
        <w:tc>
          <w:tcPr>
            <w:tcW w:w="1981" w:type="dxa"/>
            <w:gridSpan w:val="4"/>
            <w:noWrap w:val="0"/>
            <w:vAlign w:val="center"/>
          </w:tcPr>
          <w:p w14:paraId="36116679">
            <w:pPr>
              <w:adjustRightInd w:val="0"/>
              <w:spacing w:before="40" w:after="40" w:line="312" w:lineRule="atLeast"/>
              <w:textAlignment w:val="baseline"/>
              <w:rPr>
                <w:rFonts w:hint="default"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val="en-US" w:eastAsia="zh-CN"/>
              </w:rPr>
              <w:t>金融类</w:t>
            </w:r>
          </w:p>
        </w:tc>
        <w:tc>
          <w:tcPr>
            <w:tcW w:w="1981" w:type="dxa"/>
            <w:noWrap w:val="0"/>
            <w:vAlign w:val="center"/>
          </w:tcPr>
          <w:p w14:paraId="13D0DEF9">
            <w:pPr>
              <w:adjustRightInd w:val="0"/>
              <w:spacing w:before="40" w:after="40" w:line="312" w:lineRule="atLeast"/>
              <w:textAlignment w:val="baseline"/>
              <w:rPr>
                <w:rFonts w:ascii="Times New Roman" w:hAnsi="Times New Roman" w:eastAsia="宋体" w:cs="Times New Roman"/>
                <w:kern w:val="0"/>
                <w:szCs w:val="21"/>
                <w:highlight w:val="none"/>
                <w:u w:val="single"/>
              </w:rPr>
            </w:pPr>
            <w:r>
              <w:rPr>
                <w:rFonts w:hint="eastAsia" w:ascii="Times New Roman" w:hAnsi="Times New Roman" w:cs="Times New Roman"/>
                <w:kern w:val="0"/>
                <w:szCs w:val="21"/>
                <w:highlight w:val="none"/>
                <w:lang w:eastAsia="zh-CN"/>
              </w:rPr>
              <w:t>专业大类</w:t>
            </w:r>
            <w:r>
              <w:rPr>
                <w:rFonts w:ascii="Times New Roman" w:hAnsi="Times New Roman" w:eastAsia="宋体" w:cs="Times New Roman"/>
                <w:kern w:val="0"/>
                <w:szCs w:val="21"/>
                <w:highlight w:val="none"/>
              </w:rPr>
              <w:t>代码</w:t>
            </w:r>
          </w:p>
        </w:tc>
        <w:tc>
          <w:tcPr>
            <w:tcW w:w="2279" w:type="dxa"/>
            <w:noWrap w:val="0"/>
            <w:vAlign w:val="center"/>
          </w:tcPr>
          <w:p w14:paraId="6A8E70E6">
            <w:pPr>
              <w:adjustRightInd w:val="0"/>
              <w:spacing w:before="40" w:after="40" w:line="312" w:lineRule="atLeast"/>
              <w:textAlignment w:val="baseline"/>
              <w:rPr>
                <w:rFonts w:hint="default" w:ascii="Times New Roman" w:hAnsi="Times New Roman" w:eastAsia="宋体" w:cs="Times New Roman"/>
                <w:kern w:val="0"/>
                <w:szCs w:val="21"/>
                <w:highlight w:val="none"/>
                <w:u w:val="single"/>
                <w:lang w:val="en-US" w:eastAsia="zh-CN"/>
              </w:rPr>
            </w:pPr>
            <w:r>
              <w:rPr>
                <w:rFonts w:hint="eastAsia" w:ascii="Times New Roman" w:hAnsi="Times New Roman" w:cs="Times New Roman"/>
                <w:kern w:val="0"/>
                <w:szCs w:val="21"/>
                <w:highlight w:val="none"/>
                <w:u w:val="single"/>
                <w:lang w:val="en-US" w:eastAsia="zh-CN"/>
              </w:rPr>
              <w:t>530201</w:t>
            </w:r>
          </w:p>
        </w:tc>
      </w:tr>
      <w:tr w14:paraId="66AC37B6">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710" w:hRule="exact"/>
          <w:jc w:val="center"/>
        </w:trPr>
        <w:tc>
          <w:tcPr>
            <w:tcW w:w="2357" w:type="dxa"/>
            <w:noWrap w:val="0"/>
            <w:vAlign w:val="center"/>
          </w:tcPr>
          <w:p w14:paraId="1AAB5CFE">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办学状态</w:t>
            </w:r>
          </w:p>
        </w:tc>
        <w:tc>
          <w:tcPr>
            <w:tcW w:w="8104" w:type="dxa"/>
            <w:gridSpan w:val="10"/>
            <w:noWrap w:val="0"/>
            <w:vAlign w:val="center"/>
          </w:tcPr>
          <w:p w14:paraId="6E84FA2F">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 xml:space="preserve">□正常招生，有毕业生    □正常招生，无毕业生    </w:t>
            </w:r>
            <w:r>
              <w:rPr>
                <w:rFonts w:hint="eastAsia" w:ascii="Times New Roman" w:hAnsi="Times New Roman" w:cs="Times New Roman"/>
                <w:kern w:val="0"/>
                <w:szCs w:val="21"/>
                <w:lang w:eastAsia="zh-CN"/>
              </w:rPr>
              <w:t>☑</w:t>
            </w:r>
            <w:r>
              <w:rPr>
                <w:rFonts w:ascii="Times New Roman" w:hAnsi="Times New Roman" w:eastAsia="宋体" w:cs="Times New Roman"/>
                <w:kern w:val="0"/>
                <w:szCs w:val="21"/>
              </w:rPr>
              <w:t xml:space="preserve">已停止招生，有在校生 </w:t>
            </w:r>
          </w:p>
          <w:p w14:paraId="2B9F6B09">
            <w:pPr>
              <w:adjustRightInd w:val="0"/>
              <w:spacing w:before="40" w:after="40" w:line="312" w:lineRule="atLeast"/>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 xml:space="preserve">□已停止招生，无在校生  </w:t>
            </w:r>
            <w:r>
              <w:rPr>
                <w:rFonts w:hint="eastAsia" w:ascii="Times New Roman" w:hAnsi="Times New Roman" w:cs="Times New Roman"/>
                <w:kern w:val="0"/>
                <w:szCs w:val="21"/>
                <w:lang w:eastAsia="zh-CN"/>
              </w:rPr>
              <w:t>□</w:t>
            </w:r>
            <w:r>
              <w:rPr>
                <w:rFonts w:ascii="Times New Roman" w:hAnsi="Times New Roman" w:eastAsia="宋体" w:cs="Times New Roman"/>
                <w:kern w:val="0"/>
                <w:szCs w:val="21"/>
              </w:rPr>
              <w:t>批准后，未招生        □其他情况</w:t>
            </w:r>
          </w:p>
          <w:p w14:paraId="7642C38D">
            <w:pPr>
              <w:adjustRightInd w:val="0"/>
              <w:spacing w:before="40" w:after="40" w:line="312" w:lineRule="atLeast"/>
              <w:textAlignment w:val="baseline"/>
              <w:rPr>
                <w:rFonts w:ascii="Times New Roman" w:hAnsi="Times New Roman" w:eastAsia="宋体" w:cs="Times New Roman"/>
                <w:kern w:val="0"/>
                <w:szCs w:val="21"/>
              </w:rPr>
            </w:pPr>
          </w:p>
        </w:tc>
      </w:tr>
      <w:tr w14:paraId="5D7DBFF0">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519" w:hRule="exact"/>
          <w:jc w:val="center"/>
        </w:trPr>
        <w:tc>
          <w:tcPr>
            <w:tcW w:w="2357" w:type="dxa"/>
            <w:noWrap w:val="0"/>
            <w:vAlign w:val="center"/>
          </w:tcPr>
          <w:p w14:paraId="2B55BB31">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师生规模</w:t>
            </w:r>
          </w:p>
        </w:tc>
        <w:tc>
          <w:tcPr>
            <w:tcW w:w="8104" w:type="dxa"/>
            <w:gridSpan w:val="10"/>
            <w:noWrap w:val="0"/>
            <w:vAlign w:val="center"/>
          </w:tcPr>
          <w:p w14:paraId="40D3EEAB">
            <w:pPr>
              <w:adjustRightInd w:val="0"/>
              <w:spacing w:before="40" w:after="40" w:line="312" w:lineRule="atLeast"/>
              <w:textAlignment w:val="baseline"/>
              <w:rPr>
                <w:rFonts w:ascii="Times New Roman" w:hAnsi="Times New Roman" w:eastAsia="宋体" w:cs="Times New Roman"/>
                <w:kern w:val="0"/>
                <w:szCs w:val="21"/>
                <w:highlight w:val="yellow"/>
              </w:rPr>
            </w:pPr>
            <w:r>
              <w:rPr>
                <w:rFonts w:ascii="Times New Roman" w:hAnsi="Times New Roman" w:eastAsia="宋体" w:cs="Times New Roman"/>
                <w:kern w:val="0"/>
                <w:szCs w:val="21"/>
                <w:highlight w:val="none"/>
              </w:rPr>
              <w:t>专任教师数量：</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9</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 xml:space="preserve">     在校生数量：</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80</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 xml:space="preserve">      生师比：</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9：1</w:t>
            </w:r>
            <w:r>
              <w:rPr>
                <w:rFonts w:ascii="Times New Roman" w:hAnsi="Times New Roman" w:eastAsia="宋体" w:cs="Times New Roman"/>
                <w:kern w:val="0"/>
                <w:szCs w:val="21"/>
                <w:highlight w:val="none"/>
                <w:u w:val="single"/>
              </w:rPr>
              <w:t xml:space="preserve">  </w:t>
            </w:r>
          </w:p>
        </w:tc>
      </w:tr>
      <w:tr w14:paraId="2FA20B1D">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321" w:hRule="atLeast"/>
          <w:jc w:val="center"/>
        </w:trPr>
        <w:tc>
          <w:tcPr>
            <w:tcW w:w="2357" w:type="dxa"/>
            <w:vMerge w:val="restart"/>
            <w:noWrap w:val="0"/>
            <w:vAlign w:val="center"/>
          </w:tcPr>
          <w:p w14:paraId="0E63A735">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招生录取</w:t>
            </w:r>
          </w:p>
        </w:tc>
        <w:tc>
          <w:tcPr>
            <w:tcW w:w="1514" w:type="dxa"/>
            <w:gridSpan w:val="3"/>
            <w:noWrap w:val="0"/>
            <w:vAlign w:val="center"/>
          </w:tcPr>
          <w:p w14:paraId="69E47B61">
            <w:pPr>
              <w:adjustRightInd w:val="0"/>
              <w:spacing w:before="40" w:after="40" w:line="312" w:lineRule="atLeast"/>
              <w:jc w:val="center"/>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招生方式</w:t>
            </w:r>
          </w:p>
        </w:tc>
        <w:tc>
          <w:tcPr>
            <w:tcW w:w="6590" w:type="dxa"/>
            <w:gridSpan w:val="7"/>
            <w:noWrap w:val="0"/>
            <w:vAlign w:val="center"/>
          </w:tcPr>
          <w:p w14:paraId="45C36B30">
            <w:pPr>
              <w:tabs>
                <w:tab w:val="center" w:pos="3187"/>
              </w:tabs>
              <w:adjustRightInd w:val="0"/>
              <w:spacing w:before="40" w:after="40" w:line="312" w:lineRule="atLeast"/>
              <w:ind w:firstLine="105" w:firstLineChars="50"/>
              <w:textAlignment w:val="baseline"/>
              <w:rPr>
                <w:rFonts w:hint="eastAsia" w:ascii="Times New Roman" w:hAnsi="Times New Roman" w:eastAsia="宋体" w:cs="Times New Roman"/>
                <w:kern w:val="0"/>
                <w:szCs w:val="21"/>
                <w:highlight w:val="none"/>
                <w:lang w:eastAsia="zh-CN"/>
              </w:rPr>
            </w:pPr>
            <w:r>
              <w:rPr>
                <w:rFonts w:hint="eastAsia" w:ascii="Times New Roman" w:hAnsi="Times New Roman" w:cs="Times New Roman"/>
                <w:kern w:val="0"/>
                <w:szCs w:val="21"/>
                <w:highlight w:val="none"/>
                <w:lang w:eastAsia="zh-CN"/>
              </w:rPr>
              <w:t>☑</w:t>
            </w:r>
            <w:r>
              <w:rPr>
                <w:rFonts w:ascii="Times New Roman" w:hAnsi="Times New Roman" w:eastAsia="宋体" w:cs="Times New Roman"/>
                <w:kern w:val="0"/>
                <w:szCs w:val="21"/>
                <w:highlight w:val="none"/>
              </w:rPr>
              <w:t xml:space="preserve">纳入国家统招计划   </w:t>
            </w:r>
            <w:r>
              <w:rPr>
                <w:rFonts w:hint="eastAsia" w:ascii="Times New Roman" w:hAnsi="Times New Roman" w:cs="Times New Roman"/>
                <w:kern w:val="0"/>
                <w:szCs w:val="21"/>
                <w:highlight w:val="none"/>
                <w:lang w:eastAsia="zh-CN"/>
              </w:rPr>
              <w:tab/>
            </w:r>
          </w:p>
        </w:tc>
      </w:tr>
      <w:tr w14:paraId="2B53C89B">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147" w:hRule="atLeast"/>
          <w:jc w:val="center"/>
        </w:trPr>
        <w:tc>
          <w:tcPr>
            <w:tcW w:w="2357" w:type="dxa"/>
            <w:vMerge w:val="continue"/>
            <w:noWrap w:val="0"/>
            <w:vAlign w:val="center"/>
          </w:tcPr>
          <w:p w14:paraId="2A777F13">
            <w:pPr>
              <w:adjustRightInd w:val="0"/>
              <w:spacing w:before="40" w:after="40" w:line="312" w:lineRule="atLeast"/>
              <w:jc w:val="center"/>
              <w:textAlignment w:val="baseline"/>
              <w:rPr>
                <w:rFonts w:ascii="Times New Roman" w:hAnsi="Times New Roman" w:eastAsia="宋体" w:cs="Times New Roman"/>
                <w:b/>
                <w:kern w:val="0"/>
                <w:szCs w:val="21"/>
              </w:rPr>
            </w:pPr>
          </w:p>
        </w:tc>
        <w:tc>
          <w:tcPr>
            <w:tcW w:w="1514" w:type="dxa"/>
            <w:gridSpan w:val="3"/>
            <w:noWrap w:val="0"/>
            <w:vAlign w:val="center"/>
          </w:tcPr>
          <w:p w14:paraId="5074D77E">
            <w:pPr>
              <w:adjustRightInd w:val="0"/>
              <w:spacing w:before="40" w:after="40" w:line="312" w:lineRule="atLeast"/>
              <w:ind w:left="31" w:leftChars="-36" w:right="-76" w:rightChars="-36" w:hanging="107" w:hangingChars="51"/>
              <w:jc w:val="center"/>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年招生人数</w:t>
            </w:r>
          </w:p>
        </w:tc>
        <w:tc>
          <w:tcPr>
            <w:tcW w:w="6590" w:type="dxa"/>
            <w:gridSpan w:val="7"/>
            <w:noWrap w:val="0"/>
            <w:vAlign w:val="center"/>
          </w:tcPr>
          <w:p w14:paraId="592F3DDB">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每年</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1</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期，</w:t>
            </w:r>
            <w:r>
              <w:rPr>
                <w:rFonts w:ascii="Times New Roman" w:hAnsi="Times New Roman" w:eastAsia="宋体" w:cs="Times New Roman"/>
                <w:kern w:val="0"/>
                <w:szCs w:val="21"/>
                <w:highlight w:val="none"/>
                <w:u w:val="single"/>
              </w:rPr>
              <w:t xml:space="preserve">  </w:t>
            </w:r>
            <w:r>
              <w:rPr>
                <w:rFonts w:hint="eastAsia" w:ascii="Times New Roman" w:hAnsi="Times New Roman" w:cs="Times New Roman"/>
                <w:kern w:val="0"/>
                <w:szCs w:val="21"/>
                <w:highlight w:val="none"/>
                <w:u w:val="single"/>
                <w:lang w:val="en-US" w:eastAsia="zh-CN"/>
              </w:rPr>
              <w:t>150</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人/期</w:t>
            </w:r>
          </w:p>
        </w:tc>
      </w:tr>
      <w:tr w14:paraId="5EDCE790">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424" w:hRule="atLeast"/>
          <w:jc w:val="center"/>
        </w:trPr>
        <w:tc>
          <w:tcPr>
            <w:tcW w:w="2357" w:type="dxa"/>
            <w:vMerge w:val="continue"/>
            <w:noWrap w:val="0"/>
            <w:vAlign w:val="center"/>
          </w:tcPr>
          <w:p w14:paraId="09845F3B">
            <w:pPr>
              <w:adjustRightInd w:val="0"/>
              <w:spacing w:before="40" w:after="40" w:line="312" w:lineRule="atLeast"/>
              <w:jc w:val="center"/>
              <w:textAlignment w:val="baseline"/>
              <w:rPr>
                <w:rFonts w:ascii="Times New Roman" w:hAnsi="Times New Roman" w:eastAsia="宋体" w:cs="Times New Roman"/>
                <w:b/>
                <w:kern w:val="0"/>
                <w:szCs w:val="21"/>
              </w:rPr>
            </w:pPr>
          </w:p>
        </w:tc>
        <w:tc>
          <w:tcPr>
            <w:tcW w:w="8104" w:type="dxa"/>
            <w:gridSpan w:val="10"/>
            <w:noWrap w:val="0"/>
            <w:vAlign w:val="center"/>
          </w:tcPr>
          <w:p w14:paraId="3BE7ABDF">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是否满足同地区同批次录取要求：</w:t>
            </w:r>
            <w:r>
              <w:rPr>
                <w:rFonts w:hint="eastAsia" w:ascii="Times New Roman" w:hAnsi="Times New Roman" w:cs="Times New Roman"/>
                <w:kern w:val="0"/>
                <w:szCs w:val="21"/>
                <w:highlight w:val="none"/>
                <w:lang w:eastAsia="zh-CN"/>
              </w:rPr>
              <w:t>☑</w:t>
            </w:r>
            <w:r>
              <w:rPr>
                <w:rFonts w:ascii="Times New Roman" w:hAnsi="Times New Roman" w:eastAsia="宋体" w:cs="Times New Roman"/>
                <w:kern w:val="0"/>
                <w:szCs w:val="21"/>
                <w:highlight w:val="none"/>
              </w:rPr>
              <w:t xml:space="preserve">是    </w:t>
            </w:r>
            <w:r>
              <w:rPr>
                <w:rFonts w:hint="eastAsia" w:ascii="Times New Roman" w:hAnsi="Times New Roman" w:cs="Times New Roman"/>
                <w:kern w:val="0"/>
                <w:szCs w:val="21"/>
                <w:highlight w:val="none"/>
                <w:lang w:eastAsia="zh-CN"/>
              </w:rPr>
              <w:t>□</w:t>
            </w:r>
            <w:r>
              <w:rPr>
                <w:rFonts w:ascii="Times New Roman" w:hAnsi="Times New Roman" w:eastAsia="宋体" w:cs="Times New Roman"/>
                <w:kern w:val="0"/>
                <w:szCs w:val="21"/>
                <w:highlight w:val="none"/>
              </w:rPr>
              <w:t xml:space="preserve">否    </w:t>
            </w:r>
          </w:p>
        </w:tc>
      </w:tr>
      <w:tr w14:paraId="1B22BC5F">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2357" w:type="dxa"/>
            <w:vMerge w:val="restart"/>
            <w:noWrap w:val="0"/>
            <w:vAlign w:val="center"/>
          </w:tcPr>
          <w:p w14:paraId="6E2850AC">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rPr>
              <w:t>课程</w:t>
            </w:r>
            <w:r>
              <w:rPr>
                <w:rFonts w:hint="eastAsia" w:ascii="Times New Roman" w:hAnsi="Times New Roman" w:eastAsia="宋体" w:cs="Times New Roman"/>
                <w:b/>
              </w:rPr>
              <w:t>信息</w:t>
            </w:r>
          </w:p>
        </w:tc>
        <w:tc>
          <w:tcPr>
            <w:tcW w:w="3639" w:type="dxa"/>
            <w:gridSpan w:val="7"/>
            <w:noWrap w:val="0"/>
            <w:vAlign w:val="center"/>
          </w:tcPr>
          <w:p w14:paraId="797BE808">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培养方案中课程总学分：</w:t>
            </w:r>
            <w:r>
              <w:rPr>
                <w:rFonts w:hint="eastAsia" w:ascii="Times New Roman" w:hAnsi="Times New Roman" w:cs="Times New Roman"/>
                <w:kern w:val="0"/>
                <w:szCs w:val="21"/>
                <w:highlight w:val="none"/>
                <w:u w:val="single"/>
                <w:lang w:val="en-US" w:eastAsia="zh-CN"/>
              </w:rPr>
              <w:t>113</w:t>
            </w:r>
            <w:r>
              <w:rPr>
                <w:rFonts w:hint="eastAsia" w:ascii="Times New Roman" w:hAnsi="Times New Roman" w:eastAsia="宋体" w:cs="Times New Roman"/>
                <w:kern w:val="0"/>
                <w:szCs w:val="21"/>
                <w:highlight w:val="none"/>
              </w:rPr>
              <w:t>分</w:t>
            </w:r>
          </w:p>
        </w:tc>
        <w:tc>
          <w:tcPr>
            <w:tcW w:w="4465" w:type="dxa"/>
            <w:gridSpan w:val="3"/>
            <w:noWrap w:val="0"/>
            <w:vAlign w:val="center"/>
          </w:tcPr>
          <w:p w14:paraId="7C0438A6">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培养方案中课程总门数：</w:t>
            </w:r>
            <w:r>
              <w:rPr>
                <w:rFonts w:hint="eastAsia" w:ascii="Times New Roman" w:hAnsi="Times New Roman" w:cs="Times New Roman"/>
                <w:kern w:val="0"/>
                <w:szCs w:val="21"/>
                <w:highlight w:val="none"/>
                <w:lang w:val="en-US" w:eastAsia="zh-CN"/>
              </w:rPr>
              <w:t>36</w:t>
            </w:r>
            <w:r>
              <w:rPr>
                <w:rFonts w:hint="eastAsia" w:ascii="Times New Roman" w:hAnsi="Times New Roman" w:eastAsia="宋体" w:cs="Times New Roman"/>
                <w:kern w:val="0"/>
                <w:szCs w:val="21"/>
                <w:highlight w:val="none"/>
              </w:rPr>
              <w:t>门</w:t>
            </w:r>
          </w:p>
        </w:tc>
      </w:tr>
      <w:tr w14:paraId="4A695CF6">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67" w:hRule="atLeast"/>
          <w:jc w:val="center"/>
        </w:trPr>
        <w:tc>
          <w:tcPr>
            <w:tcW w:w="2357" w:type="dxa"/>
            <w:vMerge w:val="continue"/>
            <w:noWrap w:val="0"/>
            <w:vAlign w:val="center"/>
          </w:tcPr>
          <w:p w14:paraId="3AF6789E">
            <w:pPr>
              <w:adjustRightInd w:val="0"/>
              <w:spacing w:before="40" w:after="40" w:line="312" w:lineRule="atLeast"/>
              <w:jc w:val="center"/>
              <w:textAlignment w:val="baseline"/>
              <w:rPr>
                <w:rFonts w:ascii="Times New Roman" w:hAnsi="Times New Roman" w:eastAsia="宋体" w:cs="Times New Roman"/>
                <w:b/>
              </w:rPr>
            </w:pPr>
          </w:p>
        </w:tc>
        <w:tc>
          <w:tcPr>
            <w:tcW w:w="3639" w:type="dxa"/>
            <w:gridSpan w:val="7"/>
            <w:noWrap w:val="0"/>
            <w:vAlign w:val="center"/>
          </w:tcPr>
          <w:p w14:paraId="78296537">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本专业毕业要求最低学分：</w:t>
            </w:r>
            <w:r>
              <w:rPr>
                <w:rFonts w:hint="eastAsia" w:ascii="Times New Roman" w:hAnsi="Times New Roman" w:cs="Times New Roman"/>
                <w:kern w:val="0"/>
                <w:szCs w:val="21"/>
                <w:highlight w:val="none"/>
                <w:u w:val="single"/>
                <w:lang w:val="en-US" w:eastAsia="zh-CN"/>
              </w:rPr>
              <w:t>113</w:t>
            </w:r>
            <w:r>
              <w:rPr>
                <w:rFonts w:hint="eastAsia" w:ascii="Times New Roman" w:hAnsi="Times New Roman" w:eastAsia="宋体" w:cs="Times New Roman"/>
                <w:kern w:val="0"/>
                <w:szCs w:val="21"/>
                <w:highlight w:val="none"/>
              </w:rPr>
              <w:t>分</w:t>
            </w:r>
          </w:p>
        </w:tc>
        <w:tc>
          <w:tcPr>
            <w:tcW w:w="4465" w:type="dxa"/>
            <w:gridSpan w:val="3"/>
            <w:noWrap w:val="0"/>
            <w:vAlign w:val="center"/>
          </w:tcPr>
          <w:p w14:paraId="6EEA44E9">
            <w:pPr>
              <w:adjustRightInd w:val="0"/>
              <w:spacing w:before="40" w:after="40" w:line="312" w:lineRule="atLeast"/>
              <w:ind w:firstLine="105" w:firstLineChars="50"/>
              <w:textAlignment w:val="baseline"/>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完成最低学分对应的最少课程门数：</w:t>
            </w:r>
            <w:r>
              <w:rPr>
                <w:rFonts w:hint="eastAsia" w:ascii="Times New Roman" w:hAnsi="Times New Roman" w:cs="Times New Roman"/>
                <w:kern w:val="0"/>
                <w:szCs w:val="21"/>
                <w:highlight w:val="none"/>
                <w:u w:val="single"/>
                <w:lang w:val="en-US" w:eastAsia="zh-CN"/>
              </w:rPr>
              <w:t>36</w:t>
            </w:r>
            <w:r>
              <w:rPr>
                <w:rFonts w:hint="eastAsia" w:ascii="Times New Roman" w:hAnsi="Times New Roman" w:eastAsia="宋体" w:cs="Times New Roman"/>
                <w:kern w:val="0"/>
                <w:szCs w:val="21"/>
                <w:highlight w:val="none"/>
              </w:rPr>
              <w:t>门</w:t>
            </w:r>
          </w:p>
        </w:tc>
      </w:tr>
      <w:tr w14:paraId="4B855E56">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347" w:hRule="atLeast"/>
          <w:jc w:val="center"/>
        </w:trPr>
        <w:tc>
          <w:tcPr>
            <w:tcW w:w="2357" w:type="dxa"/>
            <w:noWrap w:val="0"/>
            <w:vAlign w:val="center"/>
          </w:tcPr>
          <w:p w14:paraId="5FE4B1E2">
            <w:pPr>
              <w:adjustRightInd w:val="0"/>
              <w:spacing w:before="40" w:after="40" w:line="312" w:lineRule="atLeast"/>
              <w:jc w:val="center"/>
              <w:textAlignment w:val="baseline"/>
              <w:rPr>
                <w:rFonts w:ascii="Times New Roman" w:hAnsi="Times New Roman" w:eastAsia="宋体" w:cs="Times New Roman"/>
                <w:b/>
                <w:kern w:val="0"/>
                <w:szCs w:val="21"/>
              </w:rPr>
            </w:pPr>
            <w:r>
              <w:rPr>
                <w:rFonts w:ascii="Times New Roman" w:hAnsi="Times New Roman" w:eastAsia="宋体" w:cs="Times New Roman"/>
                <w:b/>
                <w:kern w:val="0"/>
                <w:szCs w:val="21"/>
              </w:rPr>
              <w:t>培养模式</w:t>
            </w:r>
          </w:p>
        </w:tc>
        <w:tc>
          <w:tcPr>
            <w:tcW w:w="8104" w:type="dxa"/>
            <w:gridSpan w:val="10"/>
            <w:noWrap w:val="0"/>
            <w:vAlign w:val="center"/>
          </w:tcPr>
          <w:p w14:paraId="2EAE053A">
            <w:pPr>
              <w:adjustRightInd w:val="0"/>
              <w:spacing w:before="40" w:after="40" w:line="312" w:lineRule="atLeast"/>
              <w:textAlignment w:val="baseline"/>
              <w:rPr>
                <w:rFonts w:ascii="Times New Roman" w:hAnsi="Times New Roman" w:eastAsia="宋体" w:cs="Times New Roman"/>
                <w:kern w:val="0"/>
                <w:szCs w:val="21"/>
                <w:highlight w:val="none"/>
              </w:rPr>
            </w:pPr>
            <w:r>
              <w:rPr>
                <w:rFonts w:hint="eastAsia" w:ascii="Times New Roman" w:hAnsi="Times New Roman" w:cs="Times New Roman"/>
                <w:kern w:val="0"/>
                <w:szCs w:val="21"/>
                <w:highlight w:val="none"/>
                <w:lang w:eastAsia="zh-CN"/>
              </w:rPr>
              <w:t>☑</w:t>
            </w:r>
            <w:r>
              <w:rPr>
                <w:rFonts w:hint="eastAsia" w:ascii="Times New Roman" w:hAnsi="Times New Roman" w:cs="Times New Roman"/>
                <w:highlight w:val="none"/>
                <w:lang w:val="en-US" w:eastAsia="zh-CN"/>
              </w:rPr>
              <w:t>3</w:t>
            </w:r>
            <w:r>
              <w:rPr>
                <w:rFonts w:ascii="Times New Roman" w:hAnsi="Times New Roman" w:eastAsia="宋体" w:cs="Times New Roman"/>
                <w:highlight w:val="none"/>
              </w:rPr>
              <w:t>+0</w:t>
            </w:r>
            <w:r>
              <w:rPr>
                <w:rFonts w:ascii="Times New Roman" w:hAnsi="Times New Roman" w:eastAsia="宋体" w:cs="Times New Roman"/>
                <w:kern w:val="0"/>
                <w:szCs w:val="21"/>
                <w:highlight w:val="none"/>
              </w:rPr>
              <w:t xml:space="preserve">  □</w:t>
            </w:r>
            <w:r>
              <w:rPr>
                <w:rFonts w:hint="eastAsia" w:ascii="Times New Roman" w:hAnsi="Times New Roman" w:cs="Times New Roman"/>
                <w:highlight w:val="none"/>
                <w:lang w:val="en-US" w:eastAsia="zh-CN"/>
              </w:rPr>
              <w:t>2</w:t>
            </w:r>
            <w:r>
              <w:rPr>
                <w:rFonts w:ascii="Times New Roman" w:hAnsi="Times New Roman" w:eastAsia="宋体" w:cs="Times New Roman"/>
                <w:highlight w:val="none"/>
              </w:rPr>
              <w:t>+1</w:t>
            </w:r>
            <w:r>
              <w:rPr>
                <w:rFonts w:ascii="Times New Roman" w:hAnsi="Times New Roman" w:eastAsia="宋体" w:cs="Times New Roman"/>
                <w:kern w:val="0"/>
                <w:szCs w:val="21"/>
                <w:highlight w:val="none"/>
              </w:rPr>
              <w:t xml:space="preserve">  </w:t>
            </w:r>
            <w:r>
              <w:rPr>
                <w:rFonts w:ascii="Times New Roman" w:hAnsi="Times New Roman" w:eastAsia="宋体" w:cs="Times New Roman"/>
                <w:highlight w:val="none"/>
              </w:rPr>
              <w:t xml:space="preserve"> </w:t>
            </w:r>
            <w:r>
              <w:rPr>
                <w:rFonts w:ascii="Times New Roman" w:hAnsi="Times New Roman" w:eastAsia="宋体" w:cs="Times New Roman"/>
                <w:kern w:val="0"/>
                <w:szCs w:val="21"/>
                <w:highlight w:val="none"/>
              </w:rPr>
              <w:t>□其它</w:t>
            </w:r>
            <w:r>
              <w:rPr>
                <w:rFonts w:ascii="Times New Roman" w:hAnsi="Times New Roman" w:eastAsia="宋体" w:cs="Times New Roman"/>
                <w:kern w:val="0"/>
                <w:szCs w:val="21"/>
                <w:highlight w:val="none"/>
                <w:u w:val="single"/>
              </w:rPr>
              <w:t xml:space="preserve">  </w:t>
            </w:r>
            <w:r>
              <w:rPr>
                <w:rFonts w:ascii="Times New Roman" w:hAnsi="Times New Roman" w:eastAsia="宋体" w:cs="Times New Roman"/>
                <w:kern w:val="0"/>
                <w:szCs w:val="21"/>
                <w:highlight w:val="none"/>
              </w:rPr>
              <w:t xml:space="preserve"> + </w:t>
            </w:r>
            <w:r>
              <w:rPr>
                <w:rFonts w:ascii="Times New Roman" w:hAnsi="Times New Roman" w:eastAsia="宋体" w:cs="Times New Roman"/>
                <w:kern w:val="0"/>
                <w:szCs w:val="21"/>
                <w:highlight w:val="none"/>
                <w:u w:val="single"/>
              </w:rPr>
              <w:t xml:space="preserve">  </w:t>
            </w:r>
          </w:p>
        </w:tc>
      </w:tr>
      <w:tr w14:paraId="319EAE9C">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90" w:hRule="atLeast"/>
          <w:jc w:val="center"/>
        </w:trPr>
        <w:tc>
          <w:tcPr>
            <w:tcW w:w="2357" w:type="dxa"/>
            <w:vMerge w:val="restart"/>
            <w:noWrap w:val="0"/>
            <w:vAlign w:val="center"/>
          </w:tcPr>
          <w:p w14:paraId="0224CA6D">
            <w:pPr>
              <w:adjustRightInd w:val="0"/>
              <w:spacing w:before="40" w:after="40" w:line="312" w:lineRule="atLeast"/>
              <w:jc w:val="center"/>
              <w:textAlignment w:val="baseline"/>
              <w:rPr>
                <w:rFonts w:ascii="Times New Roman" w:hAnsi="Times New Roman" w:eastAsia="宋体" w:cs="Times New Roman"/>
                <w:kern w:val="0"/>
                <w:sz w:val="20"/>
              </w:rPr>
            </w:pPr>
          </w:p>
        </w:tc>
        <w:tc>
          <w:tcPr>
            <w:tcW w:w="1514" w:type="dxa"/>
            <w:gridSpan w:val="3"/>
            <w:vMerge w:val="restart"/>
            <w:noWrap w:val="0"/>
            <w:vAlign w:val="center"/>
          </w:tcPr>
          <w:p w14:paraId="28105810">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中外双方证书</w:t>
            </w:r>
          </w:p>
        </w:tc>
        <w:tc>
          <w:tcPr>
            <w:tcW w:w="1303" w:type="dxa"/>
            <w:gridSpan w:val="3"/>
            <w:noWrap w:val="0"/>
            <w:vAlign w:val="center"/>
          </w:tcPr>
          <w:p w14:paraId="492A08F1">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中方证书</w:t>
            </w:r>
          </w:p>
        </w:tc>
        <w:tc>
          <w:tcPr>
            <w:tcW w:w="5287" w:type="dxa"/>
            <w:gridSpan w:val="4"/>
            <w:noWrap w:val="0"/>
            <w:vAlign w:val="center"/>
          </w:tcPr>
          <w:p w14:paraId="0610EEC6">
            <w:pPr>
              <w:adjustRightInd w:val="0"/>
              <w:spacing w:before="40" w:after="40" w:line="312" w:lineRule="atLeast"/>
              <w:textAlignment w:val="baseline"/>
              <w:rPr>
                <w:rFonts w:ascii="Times New Roman" w:hAnsi="Times New Roman" w:eastAsia="宋体" w:cs="Times New Roman"/>
                <w:kern w:val="0"/>
                <w:szCs w:val="21"/>
              </w:rPr>
            </w:pPr>
            <w:r>
              <w:rPr>
                <w:rFonts w:hint="eastAsia" w:ascii="Times New Roman" w:hAnsi="Times New Roman" w:cs="Times New Roman"/>
                <w:kern w:val="0"/>
                <w:szCs w:val="21"/>
                <w:lang w:eastAsia="zh-CN"/>
              </w:rPr>
              <w:t>☑</w:t>
            </w:r>
            <w:r>
              <w:rPr>
                <w:rFonts w:ascii="Times New Roman" w:hAnsi="Times New Roman" w:eastAsia="宋体" w:cs="Times New Roman"/>
                <w:kern w:val="0"/>
                <w:szCs w:val="21"/>
              </w:rPr>
              <w:t>学历证书  □学位证书</w:t>
            </w:r>
          </w:p>
        </w:tc>
      </w:tr>
      <w:tr w14:paraId="2DEED956">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371" w:hRule="atLeast"/>
          <w:jc w:val="center"/>
        </w:trPr>
        <w:tc>
          <w:tcPr>
            <w:tcW w:w="2357" w:type="dxa"/>
            <w:vMerge w:val="continue"/>
            <w:noWrap w:val="0"/>
            <w:vAlign w:val="center"/>
          </w:tcPr>
          <w:p w14:paraId="3D86CA09">
            <w:pPr>
              <w:adjustRightInd w:val="0"/>
              <w:spacing w:before="40" w:after="40" w:line="312" w:lineRule="atLeast"/>
              <w:jc w:val="center"/>
              <w:textAlignment w:val="baseline"/>
              <w:rPr>
                <w:rFonts w:ascii="Times New Roman" w:hAnsi="Times New Roman" w:eastAsia="宋体" w:cs="Times New Roman"/>
                <w:kern w:val="0"/>
                <w:sz w:val="20"/>
              </w:rPr>
            </w:pPr>
          </w:p>
        </w:tc>
        <w:tc>
          <w:tcPr>
            <w:tcW w:w="1514" w:type="dxa"/>
            <w:gridSpan w:val="3"/>
            <w:vMerge w:val="continue"/>
            <w:noWrap w:val="0"/>
            <w:vAlign w:val="center"/>
          </w:tcPr>
          <w:p w14:paraId="5B48AF04">
            <w:pPr>
              <w:adjustRightInd w:val="0"/>
              <w:spacing w:before="40" w:after="40" w:line="312" w:lineRule="atLeast"/>
              <w:jc w:val="center"/>
              <w:textAlignment w:val="baseline"/>
              <w:rPr>
                <w:rFonts w:ascii="Times New Roman" w:hAnsi="Times New Roman" w:eastAsia="宋体" w:cs="Times New Roman"/>
                <w:kern w:val="0"/>
                <w:szCs w:val="21"/>
                <w:highlight w:val="none"/>
              </w:rPr>
            </w:pPr>
          </w:p>
        </w:tc>
        <w:tc>
          <w:tcPr>
            <w:tcW w:w="1303" w:type="dxa"/>
            <w:gridSpan w:val="3"/>
            <w:noWrap w:val="0"/>
            <w:vAlign w:val="center"/>
          </w:tcPr>
          <w:p w14:paraId="3AF27F69">
            <w:pPr>
              <w:adjustRightInd w:val="0"/>
              <w:spacing w:before="40" w:after="40" w:line="312" w:lineRule="atLeast"/>
              <w:jc w:val="center"/>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外方证书</w:t>
            </w:r>
          </w:p>
        </w:tc>
        <w:tc>
          <w:tcPr>
            <w:tcW w:w="5287" w:type="dxa"/>
            <w:gridSpan w:val="4"/>
            <w:noWrap w:val="0"/>
            <w:vAlign w:val="center"/>
          </w:tcPr>
          <w:p w14:paraId="0EB398C6">
            <w:pPr>
              <w:adjustRightInd w:val="0"/>
              <w:spacing w:before="40" w:after="40" w:line="312" w:lineRule="atLeast"/>
              <w:textAlignment w:val="baseline"/>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□学位证书  □文</w:t>
            </w:r>
            <w:r>
              <w:rPr>
                <w:rFonts w:ascii="Times New Roman" w:hAnsi="Times New Roman" w:eastAsia="宋体" w:cs="Times New Roman"/>
                <w:color w:val="auto"/>
                <w:kern w:val="0"/>
                <w:szCs w:val="21"/>
                <w:highlight w:val="none"/>
              </w:rPr>
              <w:t>凭</w:t>
            </w:r>
            <w:r>
              <w:rPr>
                <w:rFonts w:hint="eastAsia" w:ascii="Times New Roman" w:hAnsi="Times New Roman" w:cs="Times New Roman"/>
                <w:color w:val="auto"/>
                <w:kern w:val="0"/>
                <w:szCs w:val="21"/>
                <w:highlight w:val="none"/>
                <w:lang w:val="en-US" w:eastAsia="zh-CN"/>
              </w:rPr>
              <w:t xml:space="preserve">  </w:t>
            </w:r>
            <w:r>
              <w:rPr>
                <w:rFonts w:hint="eastAsia" w:ascii="Times New Roman" w:hAnsi="Times New Roman" w:cs="Times New Roman"/>
                <w:color w:val="auto"/>
                <w:kern w:val="0"/>
                <w:szCs w:val="21"/>
                <w:highlight w:val="none"/>
                <w:lang w:eastAsia="zh-CN"/>
              </w:rPr>
              <w:t>☑其他</w:t>
            </w:r>
            <w:bookmarkStart w:id="2" w:name="_GoBack"/>
            <w:bookmarkEnd w:id="2"/>
          </w:p>
        </w:tc>
      </w:tr>
      <w:tr w14:paraId="2E785BAE">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216" w:hRule="atLeast"/>
          <w:jc w:val="center"/>
        </w:trPr>
        <w:tc>
          <w:tcPr>
            <w:tcW w:w="2357" w:type="dxa"/>
            <w:vMerge w:val="continue"/>
            <w:noWrap w:val="0"/>
            <w:vAlign w:val="center"/>
          </w:tcPr>
          <w:p w14:paraId="08C9F576">
            <w:pPr>
              <w:adjustRightInd w:val="0"/>
              <w:spacing w:before="40" w:after="40" w:line="312" w:lineRule="atLeast"/>
              <w:jc w:val="center"/>
              <w:textAlignment w:val="baseline"/>
              <w:rPr>
                <w:rFonts w:ascii="Times New Roman" w:hAnsi="Times New Roman" w:eastAsia="宋体" w:cs="Times New Roman"/>
                <w:kern w:val="0"/>
                <w:sz w:val="20"/>
              </w:rPr>
            </w:pPr>
          </w:p>
        </w:tc>
        <w:tc>
          <w:tcPr>
            <w:tcW w:w="1514" w:type="dxa"/>
            <w:gridSpan w:val="3"/>
            <w:noWrap w:val="0"/>
            <w:vAlign w:val="center"/>
          </w:tcPr>
          <w:p w14:paraId="3D14476D">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其他</w:t>
            </w:r>
          </w:p>
        </w:tc>
        <w:tc>
          <w:tcPr>
            <w:tcW w:w="1303" w:type="dxa"/>
            <w:gridSpan w:val="3"/>
            <w:noWrap w:val="0"/>
            <w:vAlign w:val="center"/>
          </w:tcPr>
          <w:p w14:paraId="5E283A92">
            <w:pPr>
              <w:adjustRightInd w:val="0"/>
              <w:spacing w:before="40" w:after="40" w:line="312" w:lineRule="atLeast"/>
              <w:jc w:val="center"/>
              <w:textAlignment w:val="baseline"/>
              <w:rPr>
                <w:rFonts w:ascii="Times New Roman" w:hAnsi="Times New Roman" w:eastAsia="宋体" w:cs="Times New Roman"/>
                <w:kern w:val="0"/>
                <w:szCs w:val="21"/>
              </w:rPr>
            </w:pPr>
            <w:r>
              <w:rPr>
                <w:rFonts w:ascii="Times New Roman" w:hAnsi="Times New Roman" w:eastAsia="宋体" w:cs="Times New Roman"/>
                <w:kern w:val="0"/>
                <w:szCs w:val="21"/>
              </w:rPr>
              <w:t>证书名称</w:t>
            </w:r>
          </w:p>
        </w:tc>
        <w:tc>
          <w:tcPr>
            <w:tcW w:w="5287" w:type="dxa"/>
            <w:gridSpan w:val="4"/>
            <w:noWrap w:val="0"/>
            <w:vAlign w:val="center"/>
          </w:tcPr>
          <w:p w14:paraId="6E599D10">
            <w:pPr>
              <w:adjustRightInd w:val="0"/>
              <w:spacing w:before="40" w:after="40" w:line="312" w:lineRule="atLeast"/>
              <w:textAlignment w:val="baseline"/>
              <w:rPr>
                <w:rFonts w:ascii="Times New Roman" w:hAnsi="Times New Roman" w:eastAsia="宋体" w:cs="Times New Roman"/>
                <w:kern w:val="0"/>
                <w:szCs w:val="21"/>
              </w:rPr>
            </w:pPr>
          </w:p>
        </w:tc>
      </w:tr>
      <w:tr w14:paraId="1B6A178C">
        <w:tblPrEx>
          <w:tblBorders>
            <w:top w:val="single" w:color="000000" w:sz="12" w:space="0"/>
            <w:left w:val="single" w:color="000000" w:sz="12" w:space="0"/>
            <w:bottom w:val="single" w:color="000000" w:sz="12" w:space="0"/>
            <w:right w:val="single" w:color="000000"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461" w:type="dxa"/>
            <w:gridSpan w:val="11"/>
            <w:tcBorders>
              <w:bottom w:val="single" w:color="auto" w:sz="12" w:space="0"/>
            </w:tcBorders>
            <w:noWrap w:val="0"/>
            <w:vAlign w:val="center"/>
          </w:tcPr>
          <w:p w14:paraId="1F4733F7">
            <w:pPr>
              <w:adjustRightInd w:val="0"/>
              <w:spacing w:before="40" w:after="40" w:line="312" w:lineRule="atLeast"/>
              <w:textAlignment w:val="baseline"/>
              <w:rPr>
                <w:rFonts w:ascii="Times New Roman" w:hAnsi="Times New Roman" w:eastAsia="宋体" w:cs="Times New Roman"/>
                <w:bCs/>
                <w:szCs w:val="21"/>
              </w:rPr>
            </w:pPr>
            <w:r>
              <w:rPr>
                <w:rFonts w:ascii="Times New Roman" w:hAnsi="Times New Roman" w:eastAsia="宋体" w:cs="Times New Roman"/>
                <w:b/>
                <w:szCs w:val="21"/>
              </w:rPr>
              <w:t>说明</w:t>
            </w:r>
            <w:r>
              <w:rPr>
                <w:rFonts w:ascii="Times New Roman" w:hAnsi="Times New Roman" w:eastAsia="宋体" w:cs="Times New Roman"/>
                <w:szCs w:val="21"/>
              </w:rPr>
              <w:t>：</w:t>
            </w:r>
            <w:r>
              <w:rPr>
                <w:rFonts w:hint="eastAsia" w:ascii="Times New Roman" w:hAnsi="Times New Roman" w:cs="Times New Roman"/>
                <w:szCs w:val="21"/>
                <w:lang w:eastAsia="zh-CN"/>
              </w:rPr>
              <w:t>开设专业</w:t>
            </w:r>
            <w:r>
              <w:rPr>
                <w:rFonts w:ascii="Times New Roman" w:hAnsi="Times New Roman" w:eastAsia="宋体" w:cs="Times New Roman"/>
                <w:szCs w:val="21"/>
              </w:rPr>
              <w:t>请参照获批时</w:t>
            </w:r>
            <w:r>
              <w:rPr>
                <w:rFonts w:hint="eastAsia" w:ascii="Times New Roman" w:hAnsi="Times New Roman" w:eastAsia="宋体" w:cs="Times New Roman"/>
                <w:szCs w:val="21"/>
              </w:rPr>
              <w:t>的</w:t>
            </w:r>
            <w:r>
              <w:rPr>
                <w:rFonts w:ascii="Times New Roman" w:hAnsi="Times New Roman" w:eastAsia="宋体" w:cs="Times New Roman"/>
                <w:szCs w:val="21"/>
              </w:rPr>
              <w:t>专业</w:t>
            </w:r>
            <w:r>
              <w:rPr>
                <w:rFonts w:hint="eastAsia" w:ascii="Times New Roman" w:hAnsi="Times New Roman" w:eastAsia="宋体" w:cs="Times New Roman"/>
                <w:szCs w:val="21"/>
              </w:rPr>
              <w:t>名称</w:t>
            </w:r>
            <w:r>
              <w:rPr>
                <w:rFonts w:ascii="Times New Roman" w:hAnsi="Times New Roman" w:eastAsia="宋体" w:cs="Times New Roman"/>
                <w:szCs w:val="21"/>
              </w:rPr>
              <w:t>和专业代码填写</w:t>
            </w:r>
            <w:r>
              <w:rPr>
                <w:rFonts w:ascii="Times New Roman" w:hAnsi="Times New Roman" w:eastAsia="宋体" w:cs="Times New Roman"/>
              </w:rPr>
              <w:t>。</w:t>
            </w:r>
          </w:p>
        </w:tc>
      </w:tr>
    </w:tbl>
    <w:p w14:paraId="5B79521D">
      <w:pPr>
        <w:snapToGrid w:val="0"/>
        <w:spacing w:line="360" w:lineRule="auto"/>
        <w:rPr>
          <w:rFonts w:ascii="Times New Roman" w:hAnsi="Times New Roman" w:eastAsia="宋体" w:cs="Times New Roman"/>
          <w:szCs w:val="21"/>
        </w:rPr>
      </w:pPr>
      <w:r>
        <w:rPr>
          <w:rFonts w:ascii="Times New Roman" w:hAnsi="Times New Roman" w:eastAsia="宋体" w:cs="Times New Roman"/>
          <w:b/>
          <w:sz w:val="28"/>
          <w:szCs w:val="28"/>
        </w:rPr>
        <w:t>二、党建与思政工作情况</w:t>
      </w:r>
    </w:p>
    <w:p w14:paraId="3BBF3D1C">
      <w:pPr>
        <w:snapToGrid w:val="0"/>
        <w:spacing w:line="240" w:lineRule="atLeast"/>
        <w:ind w:firstLine="420" w:firstLineChars="200"/>
        <w:rPr>
          <w:rFonts w:hint="eastAsia" w:ascii="宋体" w:hAnsi="宋体" w:eastAsia="宋体" w:cs="宋体"/>
          <w:szCs w:val="21"/>
        </w:rPr>
      </w:pPr>
      <w:r>
        <w:rPr>
          <w:rFonts w:hint="eastAsia" w:ascii="宋体" w:hAnsi="宋体" w:eastAsia="宋体" w:cs="宋体"/>
          <w:szCs w:val="21"/>
        </w:rPr>
        <w:t>重点介绍本项目党建与思政工作情况。主要内容如下：（1）围绕立德树人、办学治校根本任务，开展基层党组织建设、学生党员发展和教育管理工作情况；（2）思想文化阵地建设与管理情况、意识形态责任制落实情况、党建带群建工作情况；（3）将中外合作办学党建工作纳入年度考核体系，落实党组织参与抉择权和监督权情况；（4）党建工作开展过程中存在的主要问题及下一步整改措施；（5）思想政治教育特色与成效。</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7"/>
      </w:tblGrid>
      <w:tr w14:paraId="7A4E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9402" w:type="dxa"/>
            <w:tcBorders>
              <w:top w:val="single" w:color="auto" w:sz="4" w:space="0"/>
              <w:left w:val="single" w:color="auto" w:sz="4" w:space="0"/>
              <w:bottom w:val="nil"/>
              <w:right w:val="single" w:color="auto" w:sz="4" w:space="0"/>
            </w:tcBorders>
            <w:noWrap w:val="0"/>
            <w:vAlign w:val="top"/>
          </w:tcPr>
          <w:p w14:paraId="14C86E63">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eastAsia="宋体" w:cs="宋体"/>
                <w:sz w:val="24"/>
                <w:szCs w:val="24"/>
              </w:rPr>
              <w:t>围绕立德树人、办学治校根本任务，开展基层党组织建设、教育管理工作和学生党员发展情况：</w:t>
            </w:r>
          </w:p>
          <w:p w14:paraId="24BC765F">
            <w:pPr>
              <w:pStyle w:val="7"/>
              <w:keepNext w:val="0"/>
              <w:keepLines w:val="0"/>
              <w:pageBreakBefore w:val="0"/>
              <w:tabs>
                <w:tab w:val="left" w:pos="10569"/>
              </w:tabs>
              <w:kinsoku/>
              <w:wordWrap/>
              <w:overflowPunct/>
              <w:topLinePunct w:val="0"/>
              <w:autoSpaceDE/>
              <w:autoSpaceDN/>
              <w:bidi w:val="0"/>
              <w:adjustRightInd/>
              <w:snapToGrid/>
              <w:spacing w:line="360" w:lineRule="auto"/>
              <w:ind w:right="28" w:firstLine="492" w:firstLineChars="200"/>
              <w:jc w:val="both"/>
              <w:textAlignment w:val="auto"/>
              <w:rPr>
                <w:rFonts w:hint="eastAsia" w:ascii="宋体" w:hAnsi="宋体" w:eastAsia="宋体" w:cs="宋体"/>
                <w:spacing w:val="3"/>
                <w:sz w:val="24"/>
                <w:szCs w:val="24"/>
              </w:rPr>
            </w:pPr>
            <w:r>
              <w:rPr>
                <w:rFonts w:hint="eastAsia" w:cs="宋体"/>
                <w:spacing w:val="3"/>
                <w:sz w:val="24"/>
                <w:szCs w:val="24"/>
                <w:highlight w:val="none"/>
                <w:lang w:val="en-US" w:eastAsia="zh-CN"/>
              </w:rPr>
              <w:t>本项目于2009年开始招生，2009年9月至2025年8月由国际教育学院负责项目的党建、教学与学生管理工作。自2025年9月起，本项目划归金融与投资学院负责党建、教学与学生管理工作。</w:t>
            </w:r>
            <w:r>
              <w:rPr>
                <w:rFonts w:hint="eastAsia" w:ascii="宋体" w:hAnsi="宋体" w:eastAsia="宋体" w:cs="宋体"/>
                <w:spacing w:val="3"/>
                <w:sz w:val="24"/>
                <w:szCs w:val="24"/>
                <w:highlight w:val="none"/>
              </w:rPr>
              <w:t>本项目严格遵循《关于加强河北高校中外合作办学党的建设工作的若干意见》中党的建设“三同步”原则（</w:t>
            </w:r>
            <w:r>
              <w:rPr>
                <w:rFonts w:ascii="Segoe UI" w:hAnsi="Segoe UI" w:eastAsia="Segoe UI" w:cs="Segoe UI"/>
                <w:b w:val="0"/>
                <w:bCs w:val="0"/>
                <w:i w:val="0"/>
                <w:iCs w:val="0"/>
                <w:caps w:val="0"/>
                <w:color w:val="0F1115"/>
                <w:spacing w:val="0"/>
                <w:sz w:val="24"/>
                <w:szCs w:val="24"/>
                <w:highlight w:val="none"/>
                <w:shd w:val="clear" w:fill="FFFFFF"/>
              </w:rPr>
              <w:t>党的建设同步谋划、党的组织同步设置、党的工作同步开展</w:t>
            </w:r>
            <w:r>
              <w:rPr>
                <w:rFonts w:hint="eastAsia" w:ascii="宋体" w:hAnsi="宋体" w:eastAsia="宋体" w:cs="宋体"/>
                <w:spacing w:val="3"/>
                <w:sz w:val="24"/>
                <w:szCs w:val="24"/>
                <w:highlight w:val="none"/>
              </w:rPr>
              <w:t>）以及学校关</w:t>
            </w:r>
            <w:r>
              <w:rPr>
                <w:rFonts w:hint="eastAsia" w:ascii="宋体" w:hAnsi="宋体" w:eastAsia="宋体" w:cs="宋体"/>
                <w:spacing w:val="3"/>
                <w:sz w:val="24"/>
                <w:szCs w:val="24"/>
              </w:rPr>
              <w:t>于加强基层党组织建设的</w:t>
            </w:r>
            <w:r>
              <w:rPr>
                <w:rFonts w:hint="eastAsia" w:ascii="宋体" w:hAnsi="宋体" w:eastAsia="宋体" w:cs="宋体"/>
                <w:spacing w:val="3"/>
                <w:sz w:val="24"/>
                <w:szCs w:val="24"/>
                <w:lang w:val="en-US" w:eastAsia="zh-CN"/>
              </w:rPr>
              <w:t>最新</w:t>
            </w:r>
            <w:r>
              <w:rPr>
                <w:rFonts w:hint="eastAsia" w:ascii="宋体" w:hAnsi="宋体" w:eastAsia="宋体" w:cs="宋体"/>
                <w:spacing w:val="3"/>
                <w:sz w:val="24"/>
                <w:szCs w:val="24"/>
              </w:rPr>
              <w:t>指示精神，坚持将支部建在教研室和专业班级上</w:t>
            </w:r>
            <w:r>
              <w:rPr>
                <w:rFonts w:hint="eastAsia" w:cs="宋体"/>
                <w:spacing w:val="3"/>
                <w:sz w:val="24"/>
                <w:szCs w:val="24"/>
                <w:lang w:eastAsia="zh-CN"/>
              </w:rPr>
              <w:t>；</w:t>
            </w:r>
            <w:r>
              <w:rPr>
                <w:rFonts w:hint="eastAsia" w:ascii="宋体" w:hAnsi="宋体" w:eastAsia="宋体" w:cs="宋体"/>
                <w:spacing w:val="3"/>
                <w:sz w:val="24"/>
                <w:szCs w:val="24"/>
              </w:rPr>
              <w:t>认真落实“三会一课”“第一议题”等基本组织生活制度，构建“党支部—党小组—党外人士—团支部”多层级的政治理论学习体系。党支部每两周组织1次集中学习研讨，每月开展1次主题党日活动，确保党的组织和工作全覆盖。</w:t>
            </w:r>
          </w:p>
          <w:p w14:paraId="477678C5">
            <w:pPr>
              <w:pStyle w:val="7"/>
              <w:keepNext w:val="0"/>
              <w:keepLines w:val="0"/>
              <w:pageBreakBefore w:val="0"/>
              <w:tabs>
                <w:tab w:val="left" w:pos="10569"/>
              </w:tabs>
              <w:kinsoku/>
              <w:wordWrap/>
              <w:overflowPunct/>
              <w:topLinePunct w:val="0"/>
              <w:autoSpaceDE/>
              <w:autoSpaceDN/>
              <w:bidi w:val="0"/>
              <w:adjustRightInd/>
              <w:snapToGrid/>
              <w:spacing w:line="360" w:lineRule="auto"/>
              <w:ind w:right="28" w:firstLine="492"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围绕立德树人根本任务，本项目将思想政治教育贯穿中外合作办学全过程。依托李保国志愿服务项目和团中央“七彩四点半”项目，组织学生党员开展义务支教、宣传宣讲等志愿服务活动，强化党员先锋模范作用。同时，按照学校《党员教育培训工作方案》，通过理论课堂、实践课堂、红色课堂等形式，系统组织师生党员教育培训，党务工作者全员高质量参加学校党委组织的培训，全体师生党员全年完成不少于32学时的培训，切实提升教育管理实效。</w:t>
            </w:r>
          </w:p>
          <w:p w14:paraId="2FCA9F9A">
            <w:pPr>
              <w:pStyle w:val="7"/>
              <w:keepNext w:val="0"/>
              <w:keepLines w:val="0"/>
              <w:pageBreakBefore w:val="0"/>
              <w:tabs>
                <w:tab w:val="left" w:pos="10569"/>
              </w:tabs>
              <w:kinsoku/>
              <w:wordWrap/>
              <w:overflowPunct/>
              <w:topLinePunct w:val="0"/>
              <w:autoSpaceDE/>
              <w:autoSpaceDN/>
              <w:bidi w:val="0"/>
              <w:adjustRightInd/>
              <w:snapToGrid/>
              <w:spacing w:line="360" w:lineRule="auto"/>
              <w:ind w:right="28" w:firstLine="480" w:firstLineChars="200"/>
              <w:jc w:val="both"/>
              <w:textAlignment w:val="auto"/>
              <w:rPr>
                <w:rFonts w:hint="eastAsia" w:ascii="宋体" w:hAnsi="宋体" w:eastAsia="宋体" w:cs="宋体"/>
                <w:spacing w:val="-2"/>
                <w:sz w:val="24"/>
                <w:szCs w:val="24"/>
              </w:rPr>
            </w:pPr>
            <w:r>
              <w:rPr>
                <w:rFonts w:ascii="Segoe UI" w:hAnsi="Segoe UI" w:eastAsia="Segoe UI" w:cs="Segoe UI"/>
                <w:i w:val="0"/>
                <w:iCs w:val="0"/>
                <w:caps w:val="0"/>
                <w:color w:val="0F1115"/>
                <w:spacing w:val="0"/>
                <w:sz w:val="24"/>
                <w:szCs w:val="24"/>
                <w:shd w:val="clear" w:fill="FFFFFF"/>
              </w:rPr>
              <w:t>本项目严格遵循党章及《发展党员工作细则》要求，规范做好团员推优、入党积极分子确定、发展对象培养、预备党员接收及转正等各环节工作，</w:t>
            </w:r>
            <w:r>
              <w:rPr>
                <w:rFonts w:hint="eastAsia" w:ascii="Segoe UI" w:hAnsi="Segoe UI" w:eastAsia="Segoe UI" w:cs="Segoe UI"/>
                <w:i w:val="0"/>
                <w:iCs w:val="0"/>
                <w:caps w:val="0"/>
                <w:color w:val="0F1115"/>
                <w:spacing w:val="0"/>
                <w:sz w:val="24"/>
                <w:szCs w:val="24"/>
                <w:shd w:val="clear" w:fill="FFFFFF"/>
              </w:rPr>
              <w:t>抓实全流程考察培养，完善谈心谈话、阶段性考核、档案留存等流程；依托专业平台搭建党员实践载体，推动学生党员带头深耕专业、服务师生、投身社会实践，强化理论武装与实践淬炼，夯实青年后备力量。</w:t>
            </w:r>
            <w:r>
              <w:rPr>
                <w:rFonts w:hint="eastAsia" w:ascii="宋体" w:hAnsi="宋体" w:eastAsia="宋体" w:cs="宋体"/>
                <w:spacing w:val="3"/>
                <w:sz w:val="24"/>
                <w:szCs w:val="24"/>
              </w:rPr>
              <w:tab/>
            </w:r>
            <w:r>
              <w:rPr>
                <w:rFonts w:hint="eastAsia" w:ascii="宋体" w:hAnsi="宋体" w:eastAsia="宋体" w:cs="宋体"/>
                <w:sz w:val="24"/>
                <w:szCs w:val="24"/>
              </w:rPr>
              <w:t xml:space="preserve"> 外人士-团支部”多层级的政治理论学习体系，党支部每2周组织1次集中学</w:t>
            </w:r>
            <w:r>
              <w:rPr>
                <w:rFonts w:hint="eastAsia" w:ascii="宋体" w:hAnsi="宋体" w:eastAsia="宋体" w:cs="宋体"/>
                <w:spacing w:val="-1"/>
                <w:sz w:val="24"/>
                <w:szCs w:val="24"/>
              </w:rPr>
              <w:t>习研讨，每月开展1次主</w:t>
            </w:r>
            <w:r>
              <w:rPr>
                <w:rFonts w:hint="eastAsia" w:ascii="宋体" w:hAnsi="宋体" w:eastAsia="宋体" w:cs="宋体"/>
                <w:sz w:val="24"/>
                <w:szCs w:val="24"/>
              </w:rPr>
              <w:t>题党日活动；在理论学习基础上，依托李保国志愿服务项目和团中央“七</w:t>
            </w:r>
            <w:r>
              <w:rPr>
                <w:rFonts w:hint="eastAsia" w:ascii="宋体" w:hAnsi="宋体" w:eastAsia="宋体" w:cs="宋体"/>
                <w:spacing w:val="-1"/>
                <w:sz w:val="24"/>
                <w:szCs w:val="24"/>
              </w:rPr>
              <w:t>彩四点半”项目，组织</w:t>
            </w:r>
          </w:p>
        </w:tc>
      </w:tr>
      <w:tr w14:paraId="7314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9402" w:type="dxa"/>
            <w:tcBorders>
              <w:top w:val="nil"/>
              <w:left w:val="single" w:color="auto" w:sz="4" w:space="0"/>
              <w:bottom w:val="single" w:color="auto" w:sz="4" w:space="0"/>
              <w:right w:val="single" w:color="auto" w:sz="4" w:space="0"/>
            </w:tcBorders>
            <w:noWrap w:val="0"/>
            <w:vAlign w:val="top"/>
          </w:tcPr>
          <w:p w14:paraId="6EEBB923">
            <w:pPr>
              <w:widowControl/>
              <w:spacing w:line="360" w:lineRule="auto"/>
              <w:rPr>
                <w:rFonts w:hint="eastAsia" w:ascii="宋体" w:hAnsi="宋体" w:eastAsia="宋体" w:cs="宋体"/>
                <w:sz w:val="24"/>
                <w:szCs w:val="24"/>
              </w:rPr>
            </w:pPr>
            <w:r>
              <w:rPr>
                <w:rFonts w:hint="eastAsia" w:ascii="宋体" w:hAnsi="宋体" w:eastAsia="宋体" w:cs="宋体"/>
                <w:sz w:val="24"/>
                <w:szCs w:val="24"/>
              </w:rPr>
              <w:t>最近</w:t>
            </w:r>
            <w:r>
              <w:rPr>
                <w:rFonts w:hint="eastAsia" w:ascii="宋体" w:hAnsi="宋体" w:cs="宋体"/>
                <w:sz w:val="24"/>
                <w:szCs w:val="24"/>
                <w:lang w:eastAsia="zh-CN"/>
              </w:rPr>
              <w:t>三</w:t>
            </w:r>
            <w:r>
              <w:rPr>
                <w:rFonts w:hint="eastAsia" w:ascii="宋体" w:hAnsi="宋体" w:eastAsia="宋体" w:cs="宋体"/>
                <w:sz w:val="24"/>
                <w:szCs w:val="24"/>
              </w:rPr>
              <w:t>届毕业生中党员和积极分子发展情况：</w:t>
            </w:r>
          </w:p>
          <w:p w14:paraId="2C3F7648">
            <w:pPr>
              <w:widowControl/>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025</w:t>
            </w:r>
            <w:r>
              <w:rPr>
                <w:rFonts w:hint="eastAsia" w:ascii="宋体" w:hAnsi="宋体" w:eastAsia="宋体" w:cs="宋体"/>
                <w:sz w:val="24"/>
                <w:szCs w:val="24"/>
              </w:rPr>
              <w:t>届毕业生，发展党员</w:t>
            </w:r>
            <w:r>
              <w:rPr>
                <w:rFonts w:hint="eastAsia" w:ascii="宋体" w:hAnsi="宋体" w:cs="宋体"/>
                <w:sz w:val="24"/>
                <w:szCs w:val="24"/>
                <w:u w:val="single"/>
                <w:lang w:val="en-US" w:eastAsia="zh-CN"/>
              </w:rPr>
              <w:t xml:space="preserve">  4 </w:t>
            </w:r>
            <w:r>
              <w:rPr>
                <w:rFonts w:hint="eastAsia" w:ascii="宋体" w:hAnsi="宋体" w:eastAsia="宋体" w:cs="宋体"/>
                <w:sz w:val="24"/>
                <w:szCs w:val="24"/>
              </w:rPr>
              <w:t>人，发展积极分子</w:t>
            </w:r>
            <w:r>
              <w:rPr>
                <w:rFonts w:hint="eastAsia" w:ascii="宋体" w:hAnsi="宋体" w:cs="宋体"/>
                <w:sz w:val="24"/>
                <w:szCs w:val="24"/>
                <w:u w:val="single"/>
                <w:lang w:val="en-US" w:eastAsia="zh-CN"/>
              </w:rPr>
              <w:t xml:space="preserve"> 42 </w:t>
            </w:r>
            <w:r>
              <w:rPr>
                <w:rFonts w:hint="eastAsia" w:ascii="宋体" w:hAnsi="宋体" w:eastAsia="宋体" w:cs="宋体"/>
                <w:sz w:val="24"/>
                <w:szCs w:val="24"/>
              </w:rPr>
              <w:t>人；</w:t>
            </w:r>
          </w:p>
          <w:p w14:paraId="29661B76">
            <w:pPr>
              <w:widowControl/>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026</w:t>
            </w:r>
            <w:r>
              <w:rPr>
                <w:rFonts w:hint="eastAsia" w:ascii="宋体" w:hAnsi="宋体" w:eastAsia="宋体" w:cs="宋体"/>
                <w:sz w:val="24"/>
                <w:szCs w:val="24"/>
              </w:rPr>
              <w:t>届毕业生，发展党员</w:t>
            </w:r>
            <w:r>
              <w:rPr>
                <w:rFonts w:hint="eastAsia" w:ascii="宋体" w:hAnsi="宋体" w:cs="宋体"/>
                <w:sz w:val="24"/>
                <w:szCs w:val="24"/>
                <w:u w:val="single"/>
                <w:lang w:val="en-US" w:eastAsia="zh-CN"/>
              </w:rPr>
              <w:t xml:space="preserve">  5 </w:t>
            </w:r>
            <w:r>
              <w:rPr>
                <w:rFonts w:hint="eastAsia" w:ascii="宋体" w:hAnsi="宋体" w:eastAsia="宋体" w:cs="宋体"/>
                <w:sz w:val="24"/>
                <w:szCs w:val="24"/>
              </w:rPr>
              <w:t>人，发展积极分子</w:t>
            </w:r>
            <w:r>
              <w:rPr>
                <w:rFonts w:hint="eastAsia" w:ascii="宋体" w:hAnsi="宋体" w:cs="宋体"/>
                <w:sz w:val="24"/>
                <w:szCs w:val="24"/>
                <w:u w:val="single"/>
                <w:lang w:val="en-US" w:eastAsia="zh-CN"/>
              </w:rPr>
              <w:t xml:space="preserve"> 31 </w:t>
            </w:r>
            <w:r>
              <w:rPr>
                <w:rFonts w:hint="eastAsia" w:ascii="宋体" w:hAnsi="宋体" w:eastAsia="宋体" w:cs="宋体"/>
                <w:sz w:val="24"/>
                <w:szCs w:val="24"/>
              </w:rPr>
              <w:t>人；</w:t>
            </w:r>
          </w:p>
        </w:tc>
      </w:tr>
      <w:tr w14:paraId="0E59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9402" w:type="dxa"/>
            <w:tcBorders>
              <w:top w:val="nil"/>
              <w:left w:val="single" w:color="auto" w:sz="4" w:space="0"/>
              <w:bottom w:val="single" w:color="auto" w:sz="4" w:space="0"/>
              <w:right w:val="single" w:color="auto" w:sz="4" w:space="0"/>
            </w:tcBorders>
            <w:noWrap w:val="0"/>
            <w:vAlign w:val="top"/>
          </w:tcPr>
          <w:p w14:paraId="2BA4FB1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思想文化阵地建设与管理情况、意识形态责任制落实情况、党建带群建工作情况：</w:t>
            </w:r>
          </w:p>
          <w:p w14:paraId="5F4BACC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92" w:firstLineChars="200"/>
              <w:textAlignment w:val="auto"/>
              <w:rPr>
                <w:rFonts w:hint="eastAsia" w:ascii="宋体" w:hAnsi="宋体" w:eastAsia="宋体" w:cs="宋体"/>
                <w:spacing w:val="3"/>
                <w:kern w:val="2"/>
                <w:sz w:val="24"/>
                <w:szCs w:val="24"/>
                <w:lang w:val="en-US" w:eastAsia="en-US" w:bidi="ar-SA"/>
              </w:rPr>
            </w:pPr>
            <w:r>
              <w:rPr>
                <w:rFonts w:hint="eastAsia" w:ascii="宋体" w:hAnsi="宋体" w:eastAsia="宋体" w:cs="宋体"/>
                <w:spacing w:val="3"/>
                <w:kern w:val="2"/>
                <w:sz w:val="24"/>
                <w:szCs w:val="24"/>
                <w:lang w:val="en-US" w:eastAsia="en-US" w:bidi="ar-SA"/>
              </w:rPr>
              <w:t>本项目深入推进习近平新时代中国特色社会主义思想“三进”（进教材、进课堂、进头脑）工作，统筹推进思政课程与课程思政改革，狠抓师德师风、学术道德及教风学风建设，实现课堂、实践、网络“三域联动”。年均开展主题党日、团日活动5次，组织“青马工程”培训80学时；设立学生党员互助中心，每周开展学业帮扶与心理辅导；组建15个研学小组，实现理论学习全覆盖。深化党建基地共建，常态化开展实地研学与业务联建。年均制作微党课2期，强化新媒体传播；组建网评员队伍，精准开展网络舆情引导与正向宣传，全面筑牢思想文化主阵地。</w:t>
            </w:r>
          </w:p>
          <w:p w14:paraId="483661A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92" w:firstLineChars="200"/>
              <w:textAlignment w:val="auto"/>
              <w:rPr>
                <w:rFonts w:hint="eastAsia" w:ascii="宋体" w:hAnsi="宋体" w:eastAsia="宋体" w:cs="宋体"/>
                <w:spacing w:val="3"/>
                <w:kern w:val="2"/>
                <w:sz w:val="24"/>
                <w:szCs w:val="24"/>
                <w:lang w:val="en-US" w:eastAsia="en-US" w:bidi="ar-SA"/>
              </w:rPr>
            </w:pPr>
            <w:r>
              <w:rPr>
                <w:rFonts w:hint="eastAsia" w:ascii="宋体" w:hAnsi="宋体" w:eastAsia="宋体" w:cs="宋体"/>
                <w:spacing w:val="3"/>
                <w:kern w:val="2"/>
                <w:sz w:val="24"/>
                <w:szCs w:val="24"/>
                <w:lang w:val="en-US" w:eastAsia="en-US" w:bidi="ar-SA"/>
              </w:rPr>
              <w:t>本项目坚决筑牢意识形态主阵地，严格落实意识形态工作责任制。一是健全责任体系</w:t>
            </w:r>
            <w:r>
              <w:rPr>
                <w:rFonts w:hint="eastAsia" w:ascii="宋体" w:hAnsi="宋体" w:cs="宋体"/>
                <w:spacing w:val="3"/>
                <w:kern w:val="2"/>
                <w:sz w:val="24"/>
                <w:szCs w:val="24"/>
                <w:lang w:val="en-US" w:eastAsia="zh-CN" w:bidi="ar-SA"/>
              </w:rPr>
              <w:t>，</w:t>
            </w:r>
            <w:r>
              <w:rPr>
                <w:rFonts w:hint="eastAsia" w:ascii="宋体" w:hAnsi="宋体" w:eastAsia="宋体" w:cs="宋体"/>
                <w:spacing w:val="3"/>
                <w:kern w:val="2"/>
                <w:sz w:val="24"/>
                <w:szCs w:val="24"/>
                <w:lang w:val="en-US" w:eastAsia="en-US" w:bidi="ar-SA"/>
              </w:rPr>
              <w:t>创新建立“三清单四机制”，构建“明责—履责—考责”闭环链条，明确意识形态分管责任人及逐级负责制度。二是严把审核关口</w:t>
            </w:r>
            <w:r>
              <w:rPr>
                <w:rFonts w:hint="eastAsia" w:ascii="宋体" w:hAnsi="宋体" w:cs="宋体"/>
                <w:spacing w:val="3"/>
                <w:kern w:val="2"/>
                <w:sz w:val="24"/>
                <w:szCs w:val="24"/>
                <w:lang w:val="en-US" w:eastAsia="zh-CN" w:bidi="ar-SA"/>
              </w:rPr>
              <w:t>，</w:t>
            </w:r>
            <w:r>
              <w:rPr>
                <w:rFonts w:hint="eastAsia" w:ascii="宋体" w:hAnsi="宋体" w:eastAsia="宋体" w:cs="宋体"/>
                <w:spacing w:val="3"/>
                <w:kern w:val="2"/>
                <w:sz w:val="24"/>
                <w:szCs w:val="24"/>
                <w:lang w:val="en-US" w:eastAsia="en-US" w:bidi="ar-SA"/>
              </w:rPr>
              <w:t>打造“教研室—党支部—党总支”三级联审平台，对新进教师、教材选用、课程建设、学术活动实施全周期政治把关，确保意识形态领域安全可控。</w:t>
            </w:r>
          </w:p>
          <w:p w14:paraId="6426C4B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92" w:firstLineChars="200"/>
              <w:textAlignment w:val="auto"/>
              <w:rPr>
                <w:rFonts w:hint="eastAsia" w:ascii="宋体" w:hAnsi="宋体" w:eastAsia="宋体" w:cs="宋体"/>
                <w:sz w:val="24"/>
                <w:szCs w:val="24"/>
                <w:lang w:eastAsia="zh-CN"/>
              </w:rPr>
            </w:pPr>
            <w:r>
              <w:rPr>
                <w:rFonts w:hint="eastAsia" w:ascii="宋体" w:hAnsi="宋体" w:eastAsia="宋体" w:cs="宋体"/>
                <w:spacing w:val="3"/>
                <w:kern w:val="2"/>
                <w:sz w:val="24"/>
                <w:szCs w:val="24"/>
                <w:lang w:val="en-US" w:eastAsia="en-US" w:bidi="ar-SA"/>
              </w:rPr>
              <w:t>本项目坚持党建带群建，将习近平新时代中国特色社会主义思想作为团总支、工会学习的首要内容。依托“智慧团建”系统，推动团务工作标准化、规范化。常态化开展谈心谈话与走访慰问，切实增强项目团队的凝聚力与向心力。</w:t>
            </w:r>
          </w:p>
        </w:tc>
      </w:tr>
      <w:tr w14:paraId="615F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9402" w:type="dxa"/>
            <w:tcBorders>
              <w:top w:val="single" w:color="auto" w:sz="4" w:space="0"/>
            </w:tcBorders>
            <w:noWrap w:val="0"/>
            <w:vAlign w:val="top"/>
          </w:tcPr>
          <w:p w14:paraId="65314F93">
            <w:pPr>
              <w:widowControl/>
              <w:numPr>
                <w:ilvl w:val="0"/>
                <w:numId w:val="0"/>
              </w:numPr>
              <w:spacing w:after="120" w:afterLines="50" w:line="360" w:lineRule="auto"/>
              <w:ind w:left="0" w:leftChars="0" w:firstLine="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将中外合作办学党建工作纳入年度考核体系，落实党组织参与抉择权和监督权情况：</w:t>
            </w:r>
          </w:p>
          <w:p w14:paraId="24E41E6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spacing w:val="-2"/>
                <w:sz w:val="24"/>
                <w:szCs w:val="24"/>
              </w:rPr>
            </w:pPr>
            <w:r>
              <w:rPr>
                <w:rFonts w:hint="default" w:eastAsia="宋体"/>
                <w:sz w:val="24"/>
                <w:szCs w:val="24"/>
              </w:rPr>
              <w:t>河北金融学院建立健全年度综合考核机制，于每年年末对全校各部门实施全面考评，其中</w:t>
            </w:r>
            <w:r>
              <w:rPr>
                <w:rFonts w:hint="eastAsia"/>
                <w:sz w:val="24"/>
                <w:szCs w:val="24"/>
                <w:lang w:eastAsia="zh-CN"/>
              </w:rPr>
              <w:t>将</w:t>
            </w:r>
            <w:r>
              <w:rPr>
                <w:rFonts w:hint="default" w:eastAsia="宋体"/>
                <w:sz w:val="24"/>
                <w:szCs w:val="24"/>
              </w:rPr>
              <w:t>中外合作办学项目的党建工作纳入考核体系，重点检视党建、教学管理及学生工作等关键领域落实成效。针对项目党建，从思想建设、责任压实、重点任务推进、先锋作用发挥、问题整改落实、创先争优建设等方面进行考核。通过对标对表，项目党建工作锚定清晰发展方向，精准识别优势与短板，有效发挥考核</w:t>
            </w:r>
            <w:r>
              <w:rPr>
                <w:rFonts w:hint="eastAsia" w:eastAsia="宋体"/>
                <w:sz w:val="24"/>
                <w:szCs w:val="24"/>
                <w:lang w:eastAsia="zh-CN"/>
              </w:rPr>
              <w:t>“</w:t>
            </w:r>
            <w:r>
              <w:rPr>
                <w:rFonts w:hint="default" w:eastAsia="宋体"/>
                <w:sz w:val="24"/>
                <w:szCs w:val="24"/>
              </w:rPr>
              <w:t>指挥棒</w:t>
            </w:r>
            <w:r>
              <w:rPr>
                <w:rFonts w:hint="eastAsia" w:eastAsia="宋体"/>
                <w:sz w:val="24"/>
                <w:szCs w:val="24"/>
                <w:lang w:eastAsia="zh-CN"/>
              </w:rPr>
              <w:t>”</w:t>
            </w:r>
            <w:r>
              <w:rPr>
                <w:rFonts w:hint="default" w:eastAsia="宋体"/>
                <w:sz w:val="24"/>
                <w:szCs w:val="24"/>
              </w:rPr>
              <w:t>作用，实现以评促建、以评促改，持续激发内生动力，推动中爱合作办学党建工作提质增效。</w:t>
            </w:r>
          </w:p>
        </w:tc>
      </w:tr>
      <w:tr w14:paraId="3CB4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9402" w:type="dxa"/>
            <w:noWrap w:val="0"/>
            <w:vAlign w:val="top"/>
          </w:tcPr>
          <w:p w14:paraId="13E23AF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（4）党建工作开展过程中存在的主要问题及下一步整改措施：</w:t>
            </w:r>
          </w:p>
          <w:p w14:paraId="503DF5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存在的主要问题</w:t>
            </w:r>
            <w:r>
              <w:rPr>
                <w:rFonts w:hint="eastAsia" w:ascii="宋体" w:hAnsi="宋体" w:eastAsia="宋体" w:cs="宋体"/>
                <w:kern w:val="2"/>
                <w:sz w:val="24"/>
                <w:szCs w:val="24"/>
                <w:lang w:val="en-US" w:eastAsia="zh-CN" w:bidi="ar-SA"/>
              </w:rPr>
              <w:t>：</w:t>
            </w:r>
            <w:r>
              <w:rPr>
                <w:rFonts w:hint="default" w:ascii="宋体" w:hAnsi="宋体" w:eastAsia="宋体" w:cs="宋体"/>
                <w:kern w:val="2"/>
                <w:sz w:val="24"/>
                <w:szCs w:val="24"/>
                <w:lang w:val="en-US" w:eastAsia="zh-CN" w:bidi="ar-SA"/>
              </w:rPr>
              <w:t>部分党员在理论武装方面主动性、系统性不足，对党的最新理论成果存在“研不深、用不上”的现象，理论学习与实际工作结合不够紧密，未能有效将政治理论转化为指导实践、推动工作的能力。</w:t>
            </w:r>
          </w:p>
          <w:p w14:paraId="7E50AE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下一步整改措施</w:t>
            </w:r>
            <w:r>
              <w:rPr>
                <w:rFonts w:hint="eastAsia" w:ascii="宋体" w:hAnsi="宋体" w:eastAsia="宋体" w:cs="宋体"/>
                <w:kern w:val="2"/>
                <w:sz w:val="24"/>
                <w:szCs w:val="24"/>
                <w:lang w:val="en-US" w:eastAsia="zh-CN" w:bidi="ar-SA"/>
              </w:rPr>
              <w:t>：一是</w:t>
            </w:r>
            <w:r>
              <w:rPr>
                <w:rFonts w:hint="default" w:ascii="宋体" w:hAnsi="宋体" w:eastAsia="宋体" w:cs="宋体"/>
                <w:kern w:val="2"/>
                <w:sz w:val="24"/>
                <w:szCs w:val="24"/>
                <w:lang w:val="en-US" w:eastAsia="zh-CN" w:bidi="ar-SA"/>
              </w:rPr>
              <w:t>配强导师导学，提升理论阐释的穿透力。建立政治理论学习导师制，邀请校内外专家学者进行系统指导，着力在“讲清核心要义、讲透时代价值、讲活生动实践”上下功夫，增强理论学习的深度与感染力，引导党员</w:t>
            </w:r>
            <w:r>
              <w:rPr>
                <w:rFonts w:hint="eastAsia" w:ascii="宋体" w:hAnsi="宋体" w:cs="宋体"/>
                <w:kern w:val="2"/>
                <w:sz w:val="24"/>
                <w:szCs w:val="24"/>
                <w:lang w:val="en-US" w:eastAsia="zh-CN" w:bidi="ar-SA"/>
              </w:rPr>
              <w:t>深</w:t>
            </w:r>
            <w:r>
              <w:rPr>
                <w:rFonts w:hint="default" w:ascii="宋体" w:hAnsi="宋体" w:eastAsia="宋体" w:cs="宋体"/>
                <w:kern w:val="2"/>
                <w:sz w:val="24"/>
                <w:szCs w:val="24"/>
                <w:lang w:val="en-US" w:eastAsia="zh-CN" w:bidi="ar-SA"/>
              </w:rPr>
              <w:t>学真懂。</w:t>
            </w:r>
            <w:r>
              <w:rPr>
                <w:rFonts w:hint="eastAsia" w:ascii="宋体" w:hAnsi="宋体" w:eastAsia="宋体" w:cs="宋体"/>
                <w:kern w:val="2"/>
                <w:sz w:val="24"/>
                <w:szCs w:val="24"/>
                <w:lang w:val="en-US" w:eastAsia="zh-CN" w:bidi="ar-SA"/>
              </w:rPr>
              <w:t>二是</w:t>
            </w:r>
            <w:r>
              <w:rPr>
                <w:rFonts w:hint="default" w:ascii="宋体" w:hAnsi="宋体" w:eastAsia="宋体" w:cs="宋体"/>
                <w:kern w:val="2"/>
                <w:sz w:val="24"/>
                <w:szCs w:val="24"/>
                <w:lang w:val="en-US" w:eastAsia="zh-CN" w:bidi="ar-SA"/>
              </w:rPr>
              <w:t>创新载体促学，增强学习</w:t>
            </w:r>
            <w:r>
              <w:rPr>
                <w:rFonts w:hint="eastAsia" w:ascii="宋体" w:hAnsi="宋体" w:cs="宋体"/>
                <w:kern w:val="2"/>
                <w:sz w:val="24"/>
                <w:szCs w:val="24"/>
                <w:lang w:val="en-US" w:eastAsia="zh-CN" w:bidi="ar-SA"/>
              </w:rPr>
              <w:t>的应用性</w:t>
            </w:r>
            <w:r>
              <w:rPr>
                <w:rFonts w:hint="default" w:ascii="宋体" w:hAnsi="宋体" w:eastAsia="宋体" w:cs="宋体"/>
                <w:kern w:val="2"/>
                <w:sz w:val="24"/>
                <w:szCs w:val="24"/>
                <w:lang w:val="en-US" w:eastAsia="zh-CN" w:bidi="ar-SA"/>
              </w:rPr>
              <w:t>。引入VR/AR等现代信息技术，打造沉浸式、体验式、实践式课堂，通过场景再现、互动模拟等方式，使党员在“身临其境”中深刻感悟新思想的真理伟力与实践伟力，切实提高学用转化能力和解决实际问题的本领。</w:t>
            </w:r>
          </w:p>
        </w:tc>
      </w:tr>
      <w:tr w14:paraId="510F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9402" w:type="dxa"/>
            <w:noWrap w:val="0"/>
            <w:vAlign w:val="top"/>
          </w:tcPr>
          <w:p w14:paraId="4D5907A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（5）思想政治教育特色与成效（重点总结本项目思政教育实际情况，突出依据专业特点开展的思政教育成效、特色做法、改革举措等方面内容）：</w:t>
            </w:r>
          </w:p>
          <w:p w14:paraId="0444F70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本项目紧密结合金融服务与管理专业特点，立足学生成长规律和国际化办学实际，系统推进思想政治教育改革创新，形成以下特色与成效：</w:t>
            </w:r>
          </w:p>
          <w:p w14:paraId="5A42BD0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rPr>
            </w:pPr>
            <w:r>
              <w:rPr>
                <w:rFonts w:hint="eastAsia" w:ascii="宋体" w:hAnsi="宋体" w:eastAsia="宋体" w:cs="宋体"/>
                <w:b/>
                <w:bCs/>
                <w:sz w:val="24"/>
                <w:szCs w:val="24"/>
                <w:lang w:val="en-US" w:eastAsia="zh-CN"/>
              </w:rPr>
              <w:t>第一，</w:t>
            </w:r>
            <w:r>
              <w:rPr>
                <w:rFonts w:hint="default" w:ascii="宋体" w:hAnsi="宋体" w:eastAsia="宋体" w:cs="宋体"/>
                <w:b/>
                <w:bCs/>
                <w:sz w:val="24"/>
                <w:szCs w:val="24"/>
              </w:rPr>
              <w:t>构建“一轴两翼三纵四级”思想政治工作新模式</w:t>
            </w:r>
            <w:r>
              <w:rPr>
                <w:rFonts w:hint="eastAsia" w:ascii="宋体" w:hAnsi="宋体" w:eastAsia="宋体" w:cs="宋体"/>
                <w:sz w:val="24"/>
                <w:szCs w:val="24"/>
                <w:lang w:eastAsia="zh-CN"/>
              </w:rPr>
              <w:t>。</w:t>
            </w:r>
            <w:r>
              <w:rPr>
                <w:rFonts w:hint="default" w:ascii="宋体" w:hAnsi="宋体" w:eastAsia="宋体" w:cs="宋体"/>
                <w:sz w:val="24"/>
                <w:szCs w:val="24"/>
              </w:rPr>
              <w:t>遵循高等教育规律和当代大学生成长特点，贯彻“三全育人”理念，创新构建“一轴两翼三纵四级”思想政治教育工作模式。该模式荣获河北省基层思想政治工作一类优秀案例。</w:t>
            </w:r>
            <w:r>
              <w:rPr>
                <w:rFonts w:hint="default" w:ascii="宋体" w:hAnsi="宋体" w:eastAsia="宋体" w:cs="宋体"/>
                <w:b/>
                <w:bCs/>
                <w:sz w:val="24"/>
                <w:szCs w:val="24"/>
              </w:rPr>
              <w:t>“一轴”定方向</w:t>
            </w:r>
            <w:r>
              <w:rPr>
                <w:rFonts w:hint="eastAsia" w:ascii="宋体" w:hAnsi="宋体" w:eastAsia="宋体" w:cs="宋体"/>
                <w:sz w:val="24"/>
                <w:szCs w:val="24"/>
                <w:lang w:eastAsia="zh-CN"/>
              </w:rPr>
              <w:t>：</w:t>
            </w:r>
            <w:r>
              <w:rPr>
                <w:rFonts w:hint="default" w:ascii="宋体" w:hAnsi="宋体" w:eastAsia="宋体" w:cs="宋体"/>
                <w:sz w:val="24"/>
                <w:szCs w:val="24"/>
              </w:rPr>
              <w:t>坚持“思政育人”轴心不动摇，分年度实施大学生“成人、成事、成才、成功”递进式“四成教育”，帮助学生学会做人、做事、成为国家需要的金融人才、实现人生价值。</w:t>
            </w:r>
            <w:r>
              <w:rPr>
                <w:rFonts w:hint="default" w:ascii="宋体" w:hAnsi="宋体" w:eastAsia="宋体" w:cs="宋体"/>
                <w:b/>
                <w:bCs/>
                <w:sz w:val="24"/>
                <w:szCs w:val="24"/>
              </w:rPr>
              <w:t>“两翼”强协同</w:t>
            </w:r>
            <w:r>
              <w:rPr>
                <w:rFonts w:hint="eastAsia" w:ascii="宋体" w:hAnsi="宋体" w:eastAsia="宋体" w:cs="宋体"/>
                <w:sz w:val="24"/>
                <w:szCs w:val="24"/>
                <w:lang w:eastAsia="zh-CN"/>
              </w:rPr>
              <w:t>：</w:t>
            </w:r>
            <w:r>
              <w:rPr>
                <w:rFonts w:hint="default" w:ascii="宋体" w:hAnsi="宋体" w:eastAsia="宋体" w:cs="宋体"/>
                <w:sz w:val="24"/>
                <w:szCs w:val="24"/>
              </w:rPr>
              <w:t>依托协同育人平台与大思政育人团队，形成教学、学工、管理多方联动机制，确保思政教育目标精准落地。</w:t>
            </w:r>
            <w:r>
              <w:rPr>
                <w:rFonts w:hint="default" w:ascii="宋体" w:hAnsi="宋体" w:eastAsia="宋体" w:cs="宋体"/>
                <w:b/>
                <w:bCs/>
                <w:sz w:val="24"/>
                <w:szCs w:val="24"/>
              </w:rPr>
              <w:t>“三纵”显特色</w:t>
            </w:r>
            <w:r>
              <w:rPr>
                <w:rFonts w:hint="default" w:ascii="宋体" w:hAnsi="宋体" w:eastAsia="宋体" w:cs="宋体"/>
                <w:sz w:val="24"/>
                <w:szCs w:val="24"/>
              </w:rPr>
              <w:t>：规划“思政铸魂+专业筑基+科技助能”三纵路径。结合金融服务与管理专业，培养学生的道德品质与政治素养；强化金融实务、国际业务等专业能力；引入金融科技、大数据等前沿技术，培养学生国际视野与科技思维，凸显中外合作办学复合型人才培养特色。</w:t>
            </w:r>
            <w:r>
              <w:rPr>
                <w:rFonts w:hint="default" w:ascii="宋体" w:hAnsi="宋体" w:eastAsia="宋体" w:cs="宋体"/>
                <w:b/>
                <w:bCs/>
                <w:sz w:val="24"/>
                <w:szCs w:val="24"/>
              </w:rPr>
              <w:t>“四级”分阶段：</w:t>
            </w:r>
            <w:r>
              <w:rPr>
                <w:rFonts w:hint="default" w:ascii="宋体" w:hAnsi="宋体" w:eastAsia="宋体" w:cs="宋体"/>
                <w:sz w:val="24"/>
                <w:szCs w:val="24"/>
              </w:rPr>
              <w:t>根据专科各年级学生特点，实施分阶段、递进式、互动式思政教育，逐步实现“思政+专业+科技”新金融人才培养目标。</w:t>
            </w:r>
          </w:p>
          <w:p w14:paraId="259C5D6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第二，</w:t>
            </w:r>
            <w:r>
              <w:rPr>
                <w:rFonts w:hint="default" w:ascii="宋体" w:hAnsi="宋体" w:eastAsia="宋体" w:cs="宋体"/>
                <w:b/>
                <w:bCs/>
                <w:sz w:val="24"/>
                <w:szCs w:val="24"/>
              </w:rPr>
              <w:t>将红色文化深度融入育人全过程</w:t>
            </w:r>
            <w:r>
              <w:rPr>
                <w:rFonts w:hint="eastAsia" w:ascii="宋体" w:hAnsi="宋体" w:eastAsia="宋体" w:cs="宋体"/>
                <w:sz w:val="24"/>
                <w:szCs w:val="24"/>
                <w:lang w:eastAsia="zh-CN"/>
              </w:rPr>
              <w:t>。</w:t>
            </w:r>
            <w:r>
              <w:rPr>
                <w:rFonts w:hint="default" w:ascii="宋体" w:hAnsi="宋体" w:eastAsia="宋体" w:cs="宋体"/>
                <w:sz w:val="24"/>
                <w:szCs w:val="24"/>
              </w:rPr>
              <w:t>紧扣金融行业职业道德建设和爱国主义教育，将红色文化融入理论学习、实践活动和国际交流，形成“三位一体”融入机制。</w:t>
            </w:r>
            <w:r>
              <w:rPr>
                <w:rFonts w:hint="default" w:ascii="宋体" w:hAnsi="宋体" w:eastAsia="宋体" w:cs="宋体"/>
                <w:b/>
                <w:bCs/>
                <w:sz w:val="24"/>
                <w:szCs w:val="24"/>
              </w:rPr>
              <w:t>融入理论学习</w:t>
            </w:r>
            <w:r>
              <w:rPr>
                <w:rFonts w:hint="default" w:ascii="宋体" w:hAnsi="宋体" w:eastAsia="宋体" w:cs="宋体"/>
                <w:sz w:val="24"/>
                <w:szCs w:val="24"/>
              </w:rPr>
              <w:t>：专业教师在课程教学中融入红色金融史、革命根据地金融等元素，增强学生专业认同与家国情怀。在政治理论学习、“三会一课”、党日团日活动中，开展红色教育基地参观、红色观影主题党日、“传承红色基因，砥砺青春前行”主题团课等专题学习。</w:t>
            </w:r>
            <w:r>
              <w:rPr>
                <w:rFonts w:hint="default" w:ascii="宋体" w:hAnsi="宋体" w:eastAsia="宋体" w:cs="宋体"/>
                <w:b/>
                <w:bCs/>
                <w:sz w:val="24"/>
                <w:szCs w:val="24"/>
              </w:rPr>
              <w:t>融入实践活动</w:t>
            </w:r>
            <w:r>
              <w:rPr>
                <w:rFonts w:hint="default" w:ascii="宋体" w:hAnsi="宋体" w:eastAsia="宋体" w:cs="宋体"/>
                <w:sz w:val="24"/>
                <w:szCs w:val="24"/>
              </w:rPr>
              <w:t>：连续多年面向保定市高新区小学、莲池区第一实验小学开展红色文化宣传宣讲活动；依托共建社团“红色文化研究社”，组织红色文化进校园；拍摄4部红色文化教育短片；原创并展演红色话剧《生死约定》，被保定日报等多家媒体报道，取得广泛社会影响。</w:t>
            </w:r>
            <w:r>
              <w:rPr>
                <w:rFonts w:hint="default" w:ascii="宋体" w:hAnsi="宋体" w:eastAsia="宋体" w:cs="宋体"/>
                <w:b/>
                <w:bCs/>
                <w:sz w:val="24"/>
                <w:szCs w:val="24"/>
              </w:rPr>
              <w:t>融入国际交流</w:t>
            </w:r>
            <w:r>
              <w:rPr>
                <w:rFonts w:hint="default" w:ascii="宋体" w:hAnsi="宋体" w:eastAsia="宋体" w:cs="宋体"/>
                <w:sz w:val="24"/>
                <w:szCs w:val="24"/>
              </w:rPr>
              <w:t>：结合中外合作办学特色，组织开展中外文化学术交流系列活动，主动融入中国传统文化和红色文化元素，讲好中国故事，促进中外文化互鉴，增强学生文化自信和爱国情怀。</w:t>
            </w:r>
          </w:p>
        </w:tc>
      </w:tr>
    </w:tbl>
    <w:p w14:paraId="0827FDD0">
      <w:pPr>
        <w:spacing w:line="360" w:lineRule="auto"/>
        <w:jc w:val="left"/>
        <w:rPr>
          <w:rFonts w:ascii="Times New Roman" w:hAnsi="Times New Roman" w:eastAsia="宋体" w:cs="Times New Roman"/>
          <w:b/>
          <w:sz w:val="28"/>
          <w:szCs w:val="28"/>
          <w:highlight w:val="none"/>
        </w:rPr>
      </w:pPr>
      <w:r>
        <w:rPr>
          <w:rFonts w:ascii="Times New Roman" w:hAnsi="Times New Roman" w:eastAsia="宋体" w:cs="Times New Roman"/>
          <w:b/>
          <w:sz w:val="28"/>
          <w:szCs w:val="28"/>
          <w:highlight w:val="none"/>
        </w:rPr>
        <w:t>三、办学情况简介</w:t>
      </w:r>
      <w:r>
        <w:rPr>
          <w:rFonts w:ascii="Times New Roman" w:hAnsi="Times New Roman" w:eastAsia="宋体" w:cs="Times New Roman"/>
          <w:b/>
          <w:szCs w:val="21"/>
          <w:highlight w:val="none"/>
        </w:rPr>
        <w:t>（限6000字内）</w:t>
      </w:r>
    </w:p>
    <w:p w14:paraId="156F38A2">
      <w:pPr>
        <w:widowControl/>
        <w:ind w:firstLine="420" w:firstLineChars="200"/>
        <w:rPr>
          <w:rFonts w:hint="eastAsia" w:ascii="宋体" w:hAnsi="宋体" w:eastAsia="宋体" w:cs="宋体"/>
          <w:szCs w:val="21"/>
        </w:rPr>
      </w:pPr>
      <w:r>
        <w:rPr>
          <w:rFonts w:hint="eastAsia" w:ascii="宋体" w:hAnsi="宋体" w:eastAsia="宋体" w:cs="宋体"/>
          <w:szCs w:val="21"/>
        </w:rPr>
        <w:t>重点阐述本项目的办学定位、目标与特色，</w:t>
      </w:r>
      <w:r>
        <w:rPr>
          <w:rFonts w:hint="eastAsia" w:ascii="宋体" w:hAnsi="宋体" w:eastAsia="宋体" w:cs="宋体"/>
        </w:rPr>
        <w:t>依法依规办学及依协议办学情况，优质教育资源引进情况、培养质量及办学效益等方面，以及自评过程中发现的问题与整改措施</w:t>
      </w:r>
      <w:r>
        <w:rPr>
          <w:rFonts w:hint="eastAsia" w:ascii="宋体" w:hAnsi="宋体" w:eastAsia="宋体" w:cs="宋体"/>
          <w:szCs w:val="21"/>
        </w:rPr>
        <w:t>。主要内容如下：（1）项目办学定位、目标、特色及基本办学情况；（2）依法</w:t>
      </w:r>
      <w:r>
        <w:rPr>
          <w:rFonts w:hint="eastAsia" w:ascii="宋体" w:hAnsi="宋体" w:eastAsia="宋体" w:cs="宋体"/>
          <w:kern w:val="0"/>
          <w:szCs w:val="21"/>
        </w:rPr>
        <w:t>办学及办学规范性情况；（</w:t>
      </w:r>
      <w:r>
        <w:rPr>
          <w:rFonts w:hint="eastAsia" w:ascii="宋体" w:hAnsi="宋体" w:eastAsia="宋体" w:cs="宋体"/>
          <w:szCs w:val="21"/>
        </w:rPr>
        <w:t>3</w:t>
      </w:r>
      <w:r>
        <w:rPr>
          <w:rFonts w:hint="eastAsia" w:ascii="宋体" w:hAnsi="宋体" w:eastAsia="宋体" w:cs="宋体"/>
          <w:kern w:val="0"/>
          <w:szCs w:val="21"/>
        </w:rPr>
        <w:t>）</w:t>
      </w:r>
      <w:r>
        <w:rPr>
          <w:rFonts w:hint="eastAsia" w:ascii="宋体" w:hAnsi="宋体" w:eastAsia="宋体" w:cs="宋体"/>
          <w:szCs w:val="21"/>
        </w:rPr>
        <w:t>中外双方依协议办学情况</w:t>
      </w:r>
      <w:r>
        <w:rPr>
          <w:rFonts w:hint="eastAsia" w:ascii="宋体" w:hAnsi="宋体" w:eastAsia="宋体" w:cs="宋体"/>
          <w:kern w:val="0"/>
          <w:szCs w:val="21"/>
        </w:rPr>
        <w:t>；（4）培养质量及取得的社会效益等办学成果情况；（5）</w:t>
      </w:r>
      <w:r>
        <w:rPr>
          <w:rFonts w:hint="eastAsia" w:ascii="宋体" w:hAnsi="宋体" w:eastAsia="宋体" w:cs="宋体"/>
          <w:szCs w:val="21"/>
        </w:rPr>
        <w:t>自评发现的主要问题及整改计划。</w:t>
      </w:r>
    </w:p>
    <w:tbl>
      <w:tblPr>
        <w:tblStyle w:val="5"/>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4"/>
      </w:tblGrid>
      <w:tr w14:paraId="25F6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9264" w:type="dxa"/>
            <w:noWrap w:val="0"/>
            <w:vAlign w:val="top"/>
          </w:tcPr>
          <w:p w14:paraId="003AA39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（1）项目办学定位、目标、特色及基本办学情况：</w:t>
            </w:r>
          </w:p>
          <w:p w14:paraId="6AE893FA">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办学定位：</w:t>
            </w:r>
            <w:r>
              <w:rPr>
                <w:rFonts w:hint="eastAsia" w:ascii="宋体" w:hAnsi="宋体" w:eastAsia="宋体" w:cs="宋体"/>
                <w:sz w:val="24"/>
                <w:szCs w:val="24"/>
                <w:highlight w:val="none"/>
              </w:rPr>
              <w:t>本项目立足河北金融学院“金融学”省级重点学科优势，与爱尔兰格里菲斯学院深度合作，以“金融国际化”为核心特色，通过引进外方优质课程资源与教学模式，强化英语应用能力、跨文化素养及金融实践能力，致力于培养德、智、体、美、劳全面发展，具有创新精神、全球视野和良好发展潜质的复合型、应用型金融人才。</w:t>
            </w:r>
          </w:p>
          <w:p w14:paraId="1F8D9D8A">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办学目标：</w:t>
            </w:r>
            <w:r>
              <w:rPr>
                <w:rFonts w:hint="eastAsia" w:ascii="宋体" w:hAnsi="宋体" w:eastAsia="宋体" w:cs="宋体"/>
                <w:sz w:val="24"/>
                <w:szCs w:val="24"/>
                <w:highlight w:val="none"/>
              </w:rPr>
              <w:t>本项目致力于培养德、智、体、美、劳全面发展，系统掌握金融学、经济学、管理学、会计学、财务管理等基本理论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基本知识与基本</w:t>
            </w:r>
            <w:r>
              <w:rPr>
                <w:rFonts w:hint="eastAsia" w:ascii="宋体" w:hAnsi="宋体" w:eastAsia="宋体" w:cs="宋体"/>
                <w:sz w:val="24"/>
                <w:szCs w:val="24"/>
                <w:highlight w:val="none"/>
              </w:rPr>
              <w:t>技能，熟悉金融市场运行规律、业务流程及相关法律法规，具备较强的金融业务处理、财务分析、数据分析、英语应用及实践创新能力。毕业生能够胜任商业银行、证券公司、保险公司、基金公司、政策性银行、跨国企业及政府经济管理部门的信贷管理、投资理财、公司金融、财务分析、风险管理、金融数据分析等岗位。本项目着力锤炼学生创新思维、数字科技应用能力与可持续自主学习素养，培育能够助力我国金融业国际化布局、推动行业高质量发展的专业人才。</w:t>
            </w:r>
          </w:p>
          <w:p w14:paraId="5609D51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办学特色</w:t>
            </w:r>
            <w:r>
              <w:rPr>
                <w:rFonts w:hint="eastAsia" w:ascii="宋体" w:hAnsi="宋体" w:eastAsia="宋体" w:cs="宋体"/>
                <w:sz w:val="24"/>
                <w:szCs w:val="24"/>
                <w:highlight w:val="none"/>
                <w:lang w:val="en-US" w:eastAsia="zh-CN"/>
              </w:rPr>
              <w:t>：</w:t>
            </w:r>
            <w:r>
              <w:rPr>
                <w:rFonts w:hint="eastAsia" w:ascii="宋体" w:hAnsi="宋体" w:eastAsia="宋体" w:cs="宋体"/>
                <w:b/>
                <w:bCs/>
                <w:sz w:val="24"/>
                <w:szCs w:val="24"/>
                <w:highlight w:val="none"/>
                <w:lang w:val="en-US" w:eastAsia="zh-CN"/>
              </w:rPr>
              <w:t>一是中外协同，课程国际化</w:t>
            </w:r>
            <w:r>
              <w:rPr>
                <w:rFonts w:hint="eastAsia" w:ascii="宋体" w:hAnsi="宋体" w:eastAsia="宋体" w:cs="宋体"/>
                <w:sz w:val="24"/>
                <w:szCs w:val="24"/>
                <w:highlight w:val="none"/>
                <w:lang w:val="en-US" w:eastAsia="zh-CN"/>
              </w:rPr>
              <w:t>。通过</w:t>
            </w:r>
            <w:r>
              <w:rPr>
                <w:rFonts w:hint="default" w:ascii="宋体" w:hAnsi="宋体" w:eastAsia="宋体" w:cs="宋体"/>
                <w:sz w:val="24"/>
                <w:szCs w:val="24"/>
                <w:highlight w:val="none"/>
              </w:rPr>
              <w:t>引进爱尔兰格里菲斯学院优质课程资源与教学模式，实现中外课程互认与教学融合，强化英语应用和跨文化沟通能力。</w:t>
            </w:r>
            <w:r>
              <w:rPr>
                <w:rFonts w:hint="eastAsia" w:ascii="宋体" w:hAnsi="宋体" w:eastAsia="宋体" w:cs="宋体"/>
                <w:b/>
                <w:bCs/>
                <w:sz w:val="24"/>
                <w:szCs w:val="24"/>
                <w:highlight w:val="none"/>
                <w:lang w:val="en-US" w:eastAsia="zh-CN"/>
              </w:rPr>
              <w:t>二是</w:t>
            </w:r>
            <w:r>
              <w:rPr>
                <w:rFonts w:hint="default" w:ascii="宋体" w:hAnsi="宋体" w:eastAsia="宋体" w:cs="宋体"/>
                <w:b/>
                <w:bCs/>
                <w:sz w:val="24"/>
                <w:szCs w:val="24"/>
                <w:highlight w:val="none"/>
              </w:rPr>
              <w:t>“思政+专业+科技”融合</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在专业教学中融入课程思政与金融科技前沿，培养具有家国情怀、专业素养和科技视野的复合型人才。</w:t>
            </w:r>
            <w:r>
              <w:rPr>
                <w:rFonts w:hint="eastAsia" w:ascii="宋体" w:hAnsi="宋体" w:eastAsia="宋体" w:cs="宋体"/>
                <w:b/>
                <w:bCs/>
                <w:sz w:val="24"/>
                <w:szCs w:val="24"/>
                <w:highlight w:val="none"/>
                <w:lang w:val="en-US" w:eastAsia="zh-CN"/>
              </w:rPr>
              <w:t>三是</w:t>
            </w:r>
            <w:r>
              <w:rPr>
                <w:rFonts w:hint="default" w:ascii="宋体" w:hAnsi="宋体" w:eastAsia="宋体" w:cs="宋体"/>
                <w:b/>
                <w:bCs/>
                <w:sz w:val="24"/>
                <w:szCs w:val="24"/>
                <w:highlight w:val="none"/>
              </w:rPr>
              <w:t>实践导向，产教协同</w:t>
            </w:r>
            <w:r>
              <w:rPr>
                <w:rFonts w:hint="eastAsia" w:ascii="宋体" w:hAnsi="宋体" w:eastAsia="宋体" w:cs="宋体"/>
                <w:b/>
                <w:bCs/>
                <w:sz w:val="24"/>
                <w:szCs w:val="24"/>
                <w:highlight w:val="none"/>
                <w:lang w:eastAsia="zh-CN"/>
              </w:rPr>
              <w:t>。</w:t>
            </w:r>
            <w:r>
              <w:rPr>
                <w:rFonts w:hint="default" w:ascii="宋体" w:hAnsi="宋体" w:eastAsia="宋体" w:cs="宋体"/>
                <w:sz w:val="24"/>
                <w:szCs w:val="24"/>
                <w:highlight w:val="none"/>
              </w:rPr>
              <w:t>依托金融行业合作资源，强化金融实务、财务分析、风险管理等实操能力，对接数字经济发展需求。</w:t>
            </w:r>
          </w:p>
          <w:p w14:paraId="1730111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基本办学情况</w:t>
            </w:r>
            <w:r>
              <w:rPr>
                <w:rFonts w:hint="eastAsia" w:ascii="宋体" w:hAnsi="宋体" w:eastAsia="宋体" w:cs="宋体"/>
                <w:sz w:val="24"/>
                <w:szCs w:val="24"/>
                <w:highlight w:val="none"/>
                <w:lang w:val="en-US" w:eastAsia="zh-CN"/>
              </w:rPr>
              <w:t>：本项目于2009年正式获批并开始招生，学制三年，每年招生规模为150人。</w:t>
            </w:r>
          </w:p>
          <w:p w14:paraId="3027B4F0">
            <w:pPr>
              <w:widowControl/>
              <w:spacing w:after="120" w:afterLines="50"/>
              <w:rPr>
                <w:rFonts w:hint="eastAsia" w:ascii="宋体" w:hAnsi="宋体" w:eastAsia="宋体" w:cs="宋体"/>
                <w:sz w:val="24"/>
                <w:szCs w:val="24"/>
              </w:rPr>
            </w:pPr>
          </w:p>
        </w:tc>
      </w:tr>
      <w:tr w14:paraId="0F7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9264" w:type="dxa"/>
            <w:noWrap w:val="0"/>
            <w:vAlign w:val="top"/>
          </w:tcPr>
          <w:p w14:paraId="405A9CD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rPr>
              <w:t>（2）依法</w:t>
            </w:r>
            <w:r>
              <w:rPr>
                <w:rFonts w:hint="eastAsia" w:ascii="宋体" w:hAnsi="宋体" w:eastAsia="宋体" w:cs="宋体"/>
                <w:kern w:val="0"/>
                <w:sz w:val="24"/>
                <w:szCs w:val="24"/>
              </w:rPr>
              <w:t>办</w:t>
            </w:r>
            <w:r>
              <w:rPr>
                <w:rFonts w:hint="eastAsia" w:ascii="宋体" w:hAnsi="宋体" w:eastAsia="宋体" w:cs="宋体"/>
                <w:sz w:val="24"/>
                <w:szCs w:val="24"/>
                <w:highlight w:val="none"/>
              </w:rPr>
              <w:t>学及办学规范性情况：</w:t>
            </w:r>
          </w:p>
          <w:p w14:paraId="093A867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依法办学情况：</w:t>
            </w:r>
          </w:p>
          <w:p w14:paraId="1E1F3FA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依法设立</w:t>
            </w:r>
            <w:r>
              <w:rPr>
                <w:rFonts w:hint="default" w:ascii="宋体" w:hAnsi="宋体" w:eastAsia="宋体" w:cs="宋体"/>
                <w:sz w:val="24"/>
                <w:szCs w:val="24"/>
                <w:highlight w:val="none"/>
              </w:rPr>
              <w:t>：本项目严格遵循《中华人民共和国中外合作办学条例》及其实施办法，于20</w:t>
            </w:r>
            <w:r>
              <w:rPr>
                <w:rFonts w:hint="eastAsia" w:ascii="宋体" w:hAnsi="宋体" w:cs="宋体"/>
                <w:sz w:val="24"/>
                <w:szCs w:val="24"/>
                <w:highlight w:val="none"/>
                <w:lang w:val="en-US" w:eastAsia="zh-CN"/>
              </w:rPr>
              <w:t>09</w:t>
            </w:r>
            <w:r>
              <w:rPr>
                <w:rFonts w:hint="default" w:ascii="宋体" w:hAnsi="宋体" w:eastAsia="宋体" w:cs="宋体"/>
                <w:sz w:val="24"/>
                <w:szCs w:val="24"/>
                <w:highlight w:val="none"/>
              </w:rPr>
              <w:t>年获教育部批准设立。</w:t>
            </w:r>
          </w:p>
          <w:p w14:paraId="568DC26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2.</w:t>
            </w:r>
            <w:r>
              <w:rPr>
                <w:rFonts w:hint="default" w:ascii="宋体" w:hAnsi="宋体" w:eastAsia="宋体" w:cs="宋体"/>
                <w:b/>
                <w:bCs/>
                <w:sz w:val="24"/>
                <w:szCs w:val="24"/>
                <w:highlight w:val="none"/>
              </w:rPr>
              <w:t>协议规范</w:t>
            </w:r>
            <w:r>
              <w:rPr>
                <w:rFonts w:hint="default" w:ascii="宋体" w:hAnsi="宋体" w:eastAsia="宋体" w:cs="宋体"/>
                <w:sz w:val="24"/>
                <w:szCs w:val="24"/>
                <w:highlight w:val="none"/>
              </w:rPr>
              <w:t>：办学协议由河北金融学院与爱尔兰格里菲斯学院双方法人代表正式签署并完成备案。</w:t>
            </w:r>
          </w:p>
          <w:p w14:paraId="37E348EE">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3.</w:t>
            </w:r>
            <w:r>
              <w:rPr>
                <w:rFonts w:hint="default" w:ascii="宋体" w:hAnsi="宋体" w:eastAsia="宋体" w:cs="宋体"/>
                <w:b/>
                <w:bCs/>
                <w:sz w:val="24"/>
                <w:szCs w:val="24"/>
                <w:highlight w:val="none"/>
              </w:rPr>
              <w:t>招生与收费合规</w:t>
            </w:r>
            <w:r>
              <w:rPr>
                <w:rFonts w:hint="default" w:ascii="宋体" w:hAnsi="宋体" w:eastAsia="宋体" w:cs="宋体"/>
                <w:sz w:val="24"/>
                <w:szCs w:val="24"/>
                <w:highlight w:val="none"/>
              </w:rPr>
              <w:t>：招生纳入国家普通高等学校统一招生计划。现行学费标准（2</w:t>
            </w:r>
            <w:r>
              <w:rPr>
                <w:rFonts w:hint="eastAsia" w:ascii="宋体" w:hAnsi="宋体" w:cs="宋体"/>
                <w:sz w:val="24"/>
                <w:szCs w:val="24"/>
                <w:highlight w:val="none"/>
                <w:lang w:val="en-US" w:eastAsia="zh-CN"/>
              </w:rPr>
              <w:t>1</w:t>
            </w:r>
            <w:r>
              <w:rPr>
                <w:rFonts w:hint="default" w:ascii="宋体" w:hAnsi="宋体" w:eastAsia="宋体" w:cs="宋体"/>
                <w:sz w:val="24"/>
                <w:szCs w:val="24"/>
                <w:highlight w:val="none"/>
              </w:rPr>
              <w:t>000元/学年）已按程序在河北省发展和改革委员会、财政厅、教育厅完成自主定价备案。资金使用规范透明，年度审计严格执行非营利原则。</w:t>
            </w:r>
          </w:p>
          <w:p w14:paraId="74D752D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办学规范性情况：</w:t>
            </w:r>
            <w:r>
              <w:rPr>
                <w:rFonts w:hint="eastAsia" w:ascii="宋体" w:hAnsi="宋体" w:eastAsia="宋体" w:cs="宋体"/>
                <w:sz w:val="24"/>
                <w:szCs w:val="24"/>
                <w:highlight w:val="none"/>
              </w:rPr>
              <w:t xml:space="preserve"> </w:t>
            </w:r>
          </w:p>
          <w:p w14:paraId="71411AE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本项目（中爱合作办学金融服务</w:t>
            </w:r>
            <w:r>
              <w:rPr>
                <w:rFonts w:hint="eastAsia" w:ascii="宋体" w:hAnsi="宋体" w:cs="宋体"/>
                <w:sz w:val="24"/>
                <w:szCs w:val="24"/>
                <w:highlight w:val="none"/>
                <w:lang w:val="en-US" w:eastAsia="zh-CN"/>
              </w:rPr>
              <w:t>与管理</w:t>
            </w:r>
            <w:r>
              <w:rPr>
                <w:rFonts w:hint="default" w:ascii="宋体" w:hAnsi="宋体" w:eastAsia="宋体" w:cs="宋体"/>
                <w:sz w:val="24"/>
                <w:szCs w:val="24"/>
                <w:highlight w:val="none"/>
              </w:rPr>
              <w:t>专科专业）严格遵循各项规范开展教学与管理工作，持续提升教育质量，保障项目长期稳定发展。</w:t>
            </w:r>
          </w:p>
          <w:p w14:paraId="7D39F74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1.</w:t>
            </w:r>
            <w:r>
              <w:rPr>
                <w:rFonts w:hint="default" w:ascii="宋体" w:hAnsi="宋体" w:eastAsia="宋体" w:cs="宋体"/>
                <w:b/>
                <w:bCs/>
                <w:sz w:val="24"/>
                <w:szCs w:val="24"/>
                <w:highlight w:val="none"/>
              </w:rPr>
              <w:t>管理机构健全</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中爱双方共同成立</w:t>
            </w:r>
            <w:r>
              <w:rPr>
                <w:rFonts w:hint="eastAsia" w:ascii="宋体" w:hAnsi="宋体" w:cs="宋体"/>
                <w:sz w:val="24"/>
                <w:szCs w:val="24"/>
                <w:highlight w:val="none"/>
                <w:lang w:val="en-US" w:eastAsia="zh-CN"/>
              </w:rPr>
              <w:t>的</w:t>
            </w:r>
            <w:r>
              <w:rPr>
                <w:rFonts w:hint="default" w:ascii="宋体" w:hAnsi="宋体" w:eastAsia="宋体" w:cs="宋体"/>
                <w:sz w:val="24"/>
                <w:szCs w:val="24"/>
                <w:highlight w:val="none"/>
              </w:rPr>
              <w:t>联合管理委员会</w:t>
            </w:r>
            <w:r>
              <w:rPr>
                <w:rFonts w:hint="eastAsia" w:ascii="宋体" w:hAnsi="宋体" w:cs="宋体"/>
                <w:sz w:val="24"/>
                <w:szCs w:val="24"/>
                <w:highlight w:val="none"/>
                <w:lang w:val="en-US" w:eastAsia="zh-CN"/>
              </w:rPr>
              <w:t>是</w:t>
            </w:r>
            <w:r>
              <w:rPr>
                <w:rFonts w:hint="default" w:ascii="宋体" w:hAnsi="宋体" w:eastAsia="宋体" w:cs="宋体"/>
                <w:sz w:val="24"/>
                <w:szCs w:val="24"/>
                <w:highlight w:val="none"/>
              </w:rPr>
              <w:t>最高决策机构</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由7人组成（中方4人、爱方3人），中方校长任主任、爱方校长任副主任。每学年召开1次会议，研究决定项目重大事务。中爱合作办学管理委员会</w:t>
            </w:r>
            <w:r>
              <w:rPr>
                <w:rFonts w:hint="eastAsia" w:ascii="宋体" w:hAnsi="宋体" w:cs="宋体"/>
                <w:sz w:val="24"/>
                <w:szCs w:val="24"/>
                <w:highlight w:val="none"/>
                <w:lang w:val="en-US" w:eastAsia="zh-CN"/>
              </w:rPr>
              <w:t>是最高执行机构，</w:t>
            </w:r>
            <w:r>
              <w:rPr>
                <w:rFonts w:hint="default" w:ascii="宋体" w:hAnsi="宋体" w:eastAsia="宋体" w:cs="宋体"/>
                <w:sz w:val="24"/>
                <w:szCs w:val="24"/>
                <w:highlight w:val="none"/>
              </w:rPr>
              <w:t>由国际教育交流中心、国际教育学院</w:t>
            </w:r>
            <w:r>
              <w:rPr>
                <w:rFonts w:hint="eastAsia" w:ascii="宋体" w:hAnsi="宋体" w:cs="宋体"/>
                <w:sz w:val="24"/>
                <w:szCs w:val="24"/>
                <w:highlight w:val="none"/>
                <w:lang w:val="en-US" w:eastAsia="zh-CN"/>
              </w:rPr>
              <w:t>/金融与投资学院</w:t>
            </w:r>
            <w:r>
              <w:rPr>
                <w:rFonts w:hint="default" w:ascii="宋体" w:hAnsi="宋体" w:eastAsia="宋体" w:cs="宋体"/>
                <w:sz w:val="24"/>
                <w:szCs w:val="24"/>
                <w:highlight w:val="none"/>
              </w:rPr>
              <w:t>、教务处、学生处、财务处等二级单位共同组成，负责日常运营、招生、教学与学生管理等工作。</w:t>
            </w:r>
          </w:p>
          <w:p w14:paraId="18C06D2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default" w:ascii="宋体" w:hAnsi="宋体" w:eastAsia="宋体" w:cs="宋体"/>
                <w:b/>
                <w:bCs/>
                <w:sz w:val="24"/>
                <w:szCs w:val="24"/>
                <w:highlight w:val="none"/>
              </w:rPr>
              <w:t>规章制度完善</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在执行学校教育教学及学生管理通用制度的基础上，结合中外合作办学特点，制定了专项规章制度与工作流程，包括</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关于加强中外合作办学党的建设和思想政治教育工作的实施方案</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河北金融学院中外合作办学管理办法</w:t>
            </w:r>
            <w:r>
              <w:rPr>
                <w:rFonts w:hint="eastAsia" w:ascii="宋体" w:hAnsi="宋体" w:cs="宋体"/>
                <w:sz w:val="24"/>
                <w:szCs w:val="24"/>
                <w:highlight w:val="none"/>
                <w:lang w:eastAsia="zh-CN"/>
              </w:rPr>
              <w:t>》《河北金融学院中外合作办学项目学生学籍管理办法》《河北金融学院中外合作办学项目教学质量监控与保障管理办法（试行）》《河北金融学院中外合作办学项目教师培训办法》《河北金融学院中外合作办学项目外籍教师聘用及管理办法》《河北金融学院中外合作办学项目教材引进管理办法》《河北金融学院中外合作办学项目财务管理办法》《河北金融学院中外合作办学项目国有资产管理办法》</w:t>
            </w:r>
            <w:r>
              <w:rPr>
                <w:rFonts w:hint="default" w:ascii="宋体" w:hAnsi="宋体" w:eastAsia="宋体" w:cs="宋体"/>
                <w:sz w:val="24"/>
                <w:szCs w:val="24"/>
                <w:highlight w:val="none"/>
              </w:rPr>
              <w:t>等。</w:t>
            </w:r>
          </w:p>
          <w:p w14:paraId="5D186F1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3.</w:t>
            </w:r>
            <w:r>
              <w:rPr>
                <w:rFonts w:hint="default" w:ascii="宋体" w:hAnsi="宋体" w:eastAsia="宋体" w:cs="宋体"/>
                <w:b/>
                <w:bCs/>
                <w:sz w:val="24"/>
                <w:szCs w:val="24"/>
                <w:highlight w:val="none"/>
              </w:rPr>
              <w:t>运行管理规范</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学生学籍、教学档案管理统一规范。项目运行中，学校教务处</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高教研究所</w:t>
            </w:r>
            <w:r>
              <w:rPr>
                <w:rFonts w:hint="default" w:ascii="宋体" w:hAnsi="宋体" w:eastAsia="宋体" w:cs="宋体"/>
                <w:sz w:val="24"/>
                <w:szCs w:val="24"/>
                <w:highlight w:val="none"/>
              </w:rPr>
              <w:t>与爱尔兰格里菲斯学院教学管理委员会对全部课程的教学流程实施全程监控，确保教学质量。</w:t>
            </w:r>
          </w:p>
          <w:p w14:paraId="3DDB321D">
            <w:pPr>
              <w:widowControl/>
              <w:spacing w:after="120" w:afterLines="50"/>
              <w:rPr>
                <w:rFonts w:hint="eastAsia" w:ascii="宋体" w:hAnsi="宋体" w:eastAsia="宋体" w:cs="宋体"/>
                <w:sz w:val="24"/>
                <w:szCs w:val="24"/>
              </w:rPr>
            </w:pPr>
          </w:p>
        </w:tc>
      </w:tr>
      <w:tr w14:paraId="6D3B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9264" w:type="dxa"/>
            <w:noWrap w:val="0"/>
            <w:vAlign w:val="top"/>
          </w:tcPr>
          <w:p w14:paraId="3E8AC3D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rPr>
              <w:t>（</w:t>
            </w:r>
            <w:r>
              <w:rPr>
                <w:rFonts w:hint="eastAsia" w:ascii="宋体" w:hAnsi="宋体" w:eastAsia="宋体" w:cs="宋体"/>
                <w:sz w:val="24"/>
                <w:szCs w:val="24"/>
                <w:highlight w:val="none"/>
              </w:rPr>
              <w:t>3）中外双方依协议办学情况（包括中方对优质教育资源引进、吸收、利用情况以及外方参与办学情况）：</w:t>
            </w:r>
          </w:p>
          <w:p w14:paraId="119A879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highlight w:val="none"/>
              </w:rPr>
            </w:pPr>
            <w:r>
              <w:rPr>
                <w:rFonts w:hint="eastAsia" w:ascii="宋体" w:hAnsi="宋体" w:cs="宋体"/>
                <w:b/>
                <w:bCs/>
                <w:sz w:val="24"/>
                <w:szCs w:val="24"/>
                <w:highlight w:val="none"/>
                <w:lang w:val="en-US" w:eastAsia="zh-CN"/>
              </w:rPr>
              <w:t>1.</w:t>
            </w:r>
            <w:r>
              <w:rPr>
                <w:rFonts w:hint="default" w:ascii="宋体" w:hAnsi="宋体" w:eastAsia="宋体" w:cs="宋体"/>
                <w:b/>
                <w:bCs/>
                <w:sz w:val="24"/>
                <w:szCs w:val="24"/>
                <w:highlight w:val="none"/>
              </w:rPr>
              <w:t>中方对优质教育资源的引进、吸收、融合和利用情况</w:t>
            </w:r>
          </w:p>
          <w:p w14:paraId="4AF831C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sz w:val="24"/>
                <w:szCs w:val="24"/>
                <w:highlight w:val="none"/>
                <w:lang w:eastAsia="zh-CN"/>
              </w:rPr>
            </w:pPr>
            <w:r>
              <w:rPr>
                <w:rFonts w:hint="default" w:ascii="宋体" w:hAnsi="宋体" w:eastAsia="宋体" w:cs="宋体"/>
                <w:b/>
                <w:bCs/>
                <w:sz w:val="24"/>
                <w:szCs w:val="24"/>
                <w:highlight w:val="none"/>
              </w:rPr>
              <w:t>教材选用与审核</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实行“课程组申请+教研室审核+学院审核+教务处审核”机制，引进的爱方课程全部采用原版教材，学校同步开展意识形态与学术规范性审查。外教授课内容须符合中方课程思政要求，通过中爱教师同头备课实现价值引领与知识传授的有机统一，确保教育资源与“培养具有家国情怀和国际视野的金融人才”目标同向同行。项目运行以来未发生违规操作及教学事故，规范性获河北省教育厅认可</w:t>
            </w:r>
            <w:r>
              <w:rPr>
                <w:rFonts w:hint="eastAsia" w:ascii="宋体" w:hAnsi="宋体" w:cs="宋体"/>
                <w:sz w:val="24"/>
                <w:szCs w:val="24"/>
                <w:highlight w:val="none"/>
                <w:lang w:eastAsia="zh-CN"/>
              </w:rPr>
              <w:t>。</w:t>
            </w:r>
          </w:p>
          <w:p w14:paraId="6400AF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引进课程体系</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lang w:val="en-US" w:eastAsia="zh-CN"/>
              </w:rPr>
              <w:t>本专业共开设113学分的课程体系，引进</w:t>
            </w:r>
            <w:r>
              <w:rPr>
                <w:rFonts w:hint="eastAsia" w:ascii="宋体" w:hAnsi="宋体" w:eastAsia="宋体" w:cs="宋体"/>
                <w:sz w:val="24"/>
                <w:szCs w:val="24"/>
                <w:highlight w:val="none"/>
                <w:lang w:val="en-US" w:eastAsia="zh-CN"/>
              </w:rPr>
              <w:t>外方</w:t>
            </w:r>
            <w:r>
              <w:rPr>
                <w:rFonts w:hint="default" w:ascii="宋体" w:hAnsi="宋体" w:eastAsia="宋体" w:cs="宋体"/>
                <w:sz w:val="24"/>
                <w:szCs w:val="24"/>
                <w:highlight w:val="none"/>
                <w:lang w:val="en-US" w:eastAsia="zh-CN"/>
              </w:rPr>
              <w:t>课程15门，占</w:t>
            </w:r>
            <w:r>
              <w:rPr>
                <w:rFonts w:hint="eastAsia" w:ascii="宋体" w:hAnsi="宋体" w:eastAsia="宋体" w:cs="宋体"/>
                <w:sz w:val="24"/>
                <w:szCs w:val="24"/>
                <w:highlight w:val="none"/>
                <w:lang w:val="en-US" w:eastAsia="zh-CN"/>
              </w:rPr>
              <w:t>本项目</w:t>
            </w:r>
            <w:r>
              <w:rPr>
                <w:rFonts w:hint="default" w:ascii="宋体" w:hAnsi="宋体" w:eastAsia="宋体" w:cs="宋体"/>
                <w:sz w:val="24"/>
                <w:szCs w:val="24"/>
                <w:highlight w:val="none"/>
                <w:lang w:val="en-US" w:eastAsia="zh-CN"/>
              </w:rPr>
              <w:t>课程</w:t>
            </w:r>
            <w:r>
              <w:rPr>
                <w:rFonts w:hint="eastAsia" w:ascii="宋体" w:hAnsi="宋体" w:eastAsia="宋体" w:cs="宋体"/>
                <w:sz w:val="24"/>
                <w:szCs w:val="24"/>
                <w:highlight w:val="none"/>
                <w:lang w:val="en-US" w:eastAsia="zh-CN"/>
              </w:rPr>
              <w:t>总门</w:t>
            </w:r>
            <w:r>
              <w:rPr>
                <w:rFonts w:hint="default" w:ascii="宋体" w:hAnsi="宋体" w:eastAsia="宋体" w:cs="宋体"/>
                <w:sz w:val="24"/>
                <w:szCs w:val="24"/>
                <w:highlight w:val="none"/>
                <w:lang w:val="en-US" w:eastAsia="zh-CN"/>
              </w:rPr>
              <w:t>数的41.67%</w:t>
            </w:r>
            <w:r>
              <w:rPr>
                <w:rFonts w:hint="eastAsia" w:ascii="宋体" w:hAnsi="宋体" w:eastAsia="宋体" w:cs="宋体"/>
                <w:sz w:val="24"/>
                <w:szCs w:val="24"/>
                <w:highlight w:val="none"/>
                <w:lang w:val="en-US" w:eastAsia="zh-CN"/>
              </w:rPr>
              <w:t>；引进外方专业核心课程门数占该项目核心课程门数的比例为100%；外方教师担负的专业核心课程13门，占本项目课程总门数的36.11%；外方教师担负的专业核心课程教学时数占本项目全部教学时数的34.77%，本项目引进外方课程资源满足教育部的“四个三分之一”要求。</w:t>
            </w:r>
            <w:r>
              <w:rPr>
                <w:rFonts w:hint="default" w:ascii="宋体" w:hAnsi="宋体" w:eastAsia="宋体" w:cs="宋体"/>
                <w:sz w:val="24"/>
                <w:szCs w:val="24"/>
                <w:highlight w:val="none"/>
              </w:rPr>
              <w:t>学校建立“三审三校”机制，每学</w:t>
            </w:r>
            <w:r>
              <w:rPr>
                <w:rFonts w:hint="default" w:ascii="宋体" w:hAnsi="宋体" w:eastAsia="宋体" w:cs="宋体"/>
                <w:sz w:val="24"/>
                <w:szCs w:val="24"/>
                <w:highlight w:val="none"/>
                <w:lang w:val="en-US" w:eastAsia="zh-CN"/>
              </w:rPr>
              <w:t>期初由教</w:t>
            </w:r>
            <w:r>
              <w:rPr>
                <w:rFonts w:hint="default" w:ascii="宋体" w:hAnsi="宋体" w:eastAsia="宋体" w:cs="宋体"/>
                <w:sz w:val="24"/>
                <w:szCs w:val="24"/>
                <w:highlight w:val="none"/>
              </w:rPr>
              <w:t>研室、学院、教务处逐级审核爱方提供的课程教案与讲义，严把“思政关、审核关”，重点把控思政导向与学术规范，全面核查教学内容价值引领、知识点逻辑架构、案例素材选取等关键内容。</w:t>
            </w:r>
          </w:p>
          <w:p w14:paraId="52BA113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双师协同教学模式</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每学期专业核心课程均采用“爱方主讲+中方助教”双师协同模式。爱方教师讲授国际通用金融理论与实务操作，中方教师立足我国监管制度与市场案例开展本土化阐释，使学生真正掌握国外优质专业知识与技能，培养学生多元文化素养、批判性思维和国际视野。</w:t>
            </w:r>
          </w:p>
          <w:p w14:paraId="7999591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b/>
                <w:bCs/>
                <w:sz w:val="24"/>
                <w:szCs w:val="24"/>
                <w:highlight w:val="none"/>
              </w:rPr>
              <w:t>中外共同开发课程</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紧扣“</w:t>
            </w:r>
            <w:r>
              <w:rPr>
                <w:rFonts w:hint="eastAsia" w:ascii="宋体" w:hAnsi="宋体" w:cs="宋体"/>
                <w:sz w:val="24"/>
                <w:szCs w:val="24"/>
                <w:highlight w:val="none"/>
                <w:lang w:val="en-US" w:eastAsia="zh-CN"/>
              </w:rPr>
              <w:t>新</w:t>
            </w:r>
            <w:r>
              <w:rPr>
                <w:rFonts w:hint="default" w:ascii="宋体" w:hAnsi="宋体" w:eastAsia="宋体" w:cs="宋体"/>
                <w:sz w:val="24"/>
                <w:szCs w:val="24"/>
                <w:highlight w:val="none"/>
              </w:rPr>
              <w:t>财经人才”培养目标，通过“共同备课、共同授课、共同评课”共建师资协作机制，并依托学生反馈、督导听课等渠道建立持续改进机制。</w:t>
            </w:r>
            <w:r>
              <w:rPr>
                <w:rFonts w:hint="eastAsia" w:ascii="宋体" w:hAnsi="宋体" w:eastAsia="宋体" w:cs="宋体"/>
                <w:sz w:val="24"/>
                <w:szCs w:val="24"/>
                <w:highlight w:val="none"/>
                <w:lang w:val="en-US" w:eastAsia="zh-CN"/>
              </w:rPr>
              <w:t>例如，</w:t>
            </w:r>
            <w:r>
              <w:rPr>
                <w:rFonts w:hint="default" w:ascii="宋体" w:hAnsi="宋体" w:eastAsia="宋体" w:cs="宋体"/>
                <w:sz w:val="24"/>
                <w:szCs w:val="24"/>
                <w:highlight w:val="none"/>
              </w:rPr>
              <w:t>《金融学》课程依托我校省级重点学科“金融学”传统优势，与爱方“会计与金融”优势专业合作，共同制定教学大纲，加入货币与金融市场、中央银行与货币政策、汇率与外汇市场、金融监管框架等中外对比内容，融合国内外金融体系案例，凸显“金融国际化”特色。</w:t>
            </w:r>
            <w:r>
              <w:rPr>
                <w:rFonts w:hint="default" w:ascii="宋体" w:hAnsi="宋体" w:eastAsia="宋体" w:cs="宋体"/>
                <w:sz w:val="24"/>
                <w:szCs w:val="24"/>
                <w:highlight w:val="none"/>
                <w:lang w:val="en-US" w:eastAsia="zh-CN"/>
              </w:rPr>
              <w:t>《微观经济学》依托我校线上线下混合式一流课程优势，由中爱双方教研团队联合编制教学大纲，结合爱尔兰本土科创企业经营实例阐释市场竞争、厂商决策等核心理论，搭配国内小微企业、消费市场实景案例开展对照教学，兼顾国际通用分析工具与国内产业发展实际。《公司金融》依托格里菲斯学院课程教学资源联合搭建课程模块，引入爱尔兰本土企业跨境投融资实操案例，同步解读国内多层次资本市场、民营企业信贷融资相关实务，通过中外企业资本运作场景对照，帮助学生掌握不同市场环境下企业资金运营逻辑。《财务报告》同步对标国际财务报告准则与国内企业会计准则统筹设计教学内容，选取爱尔兰本土企业财务报表作为实训素材，结合国内上市公司年报开展双准则编制对比练习，贴合国内外财会、金融岗位实操工作要求。</w:t>
            </w:r>
          </w:p>
          <w:p w14:paraId="43E74A34">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default" w:ascii="宋体" w:hAnsi="宋体" w:eastAsia="宋体" w:cs="宋体"/>
                <w:b/>
                <w:bCs/>
                <w:sz w:val="24"/>
                <w:szCs w:val="24"/>
                <w:highlight w:val="none"/>
              </w:rPr>
              <w:t>选派教师整体水平</w:t>
            </w:r>
          </w:p>
          <w:p w14:paraId="5A5C2E3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我校选派的中方专业教师半数以上具有博士学历，且拥有两年以上相关行业从业经验，专业素养过硬，教学态度严谨，</w:t>
            </w:r>
            <w:r>
              <w:rPr>
                <w:rFonts w:hint="eastAsia" w:ascii="宋体" w:hAnsi="宋体" w:cs="宋体"/>
                <w:sz w:val="24"/>
                <w:szCs w:val="24"/>
                <w:highlight w:val="none"/>
                <w:lang w:val="en-US" w:eastAsia="zh-CN"/>
              </w:rPr>
              <w:t>教学能力突出</w:t>
            </w:r>
            <w:r>
              <w:rPr>
                <w:rFonts w:hint="default" w:ascii="宋体" w:hAnsi="宋体" w:eastAsia="宋体" w:cs="宋体"/>
                <w:sz w:val="24"/>
                <w:szCs w:val="24"/>
                <w:highlight w:val="none"/>
              </w:rPr>
              <w:t>。课堂教学中注重互动氛围营造与因材施教，采用多元化作业设计激发学生学习兴趣，获得学生广泛认可与积极反馈。</w:t>
            </w:r>
          </w:p>
          <w:p w14:paraId="7756DDA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rPr>
            </w:pPr>
            <w:r>
              <w:rPr>
                <w:rFonts w:hint="eastAsia" w:ascii="宋体" w:hAnsi="宋体" w:cs="宋体"/>
                <w:b/>
                <w:bCs/>
                <w:sz w:val="24"/>
                <w:szCs w:val="24"/>
                <w:highlight w:val="none"/>
                <w:lang w:val="en-US" w:eastAsia="zh-CN"/>
              </w:rPr>
              <w:t>3.</w:t>
            </w:r>
            <w:r>
              <w:rPr>
                <w:rFonts w:hint="eastAsia" w:ascii="宋体" w:hAnsi="宋体" w:eastAsia="宋体" w:cs="宋体"/>
                <w:b/>
                <w:bCs/>
                <w:kern w:val="0"/>
                <w:sz w:val="24"/>
                <w:szCs w:val="24"/>
                <w:highlight w:val="none"/>
              </w:rPr>
              <w:t>教学质量保障</w:t>
            </w:r>
          </w:p>
          <w:p w14:paraId="2CAFB78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中方质量保障</w:t>
            </w:r>
            <w:r>
              <w:rPr>
                <w:rFonts w:hint="default" w:ascii="宋体" w:hAnsi="宋体" w:eastAsia="宋体" w:cs="宋体"/>
                <w:sz w:val="24"/>
                <w:szCs w:val="24"/>
                <w:highlight w:val="none"/>
              </w:rPr>
              <w:t>：建立校、院两级质量监控</w:t>
            </w:r>
            <w:r>
              <w:rPr>
                <w:rFonts w:hint="eastAsia" w:ascii="宋体" w:hAnsi="宋体" w:cs="宋体"/>
                <w:sz w:val="24"/>
                <w:szCs w:val="24"/>
                <w:highlight w:val="none"/>
                <w:lang w:val="en-US" w:eastAsia="zh-CN"/>
              </w:rPr>
              <w:t>体系</w:t>
            </w:r>
            <w:r>
              <w:rPr>
                <w:rFonts w:hint="default" w:ascii="宋体" w:hAnsi="宋体" w:eastAsia="宋体" w:cs="宋体"/>
                <w:sz w:val="24"/>
                <w:szCs w:val="24"/>
                <w:highlight w:val="none"/>
              </w:rPr>
              <w:t>，设立教学督导组和质量管理小组，负责日常教学检查、课程审核和教学档案管理。</w:t>
            </w:r>
            <w:r>
              <w:rPr>
                <w:rFonts w:hint="eastAsia" w:ascii="宋体" w:hAnsi="宋体" w:cs="宋体"/>
                <w:sz w:val="24"/>
                <w:szCs w:val="24"/>
                <w:highlight w:val="none"/>
                <w:lang w:val="en-US" w:eastAsia="zh-CN"/>
              </w:rPr>
              <w:t>学院</w:t>
            </w:r>
            <w:r>
              <w:rPr>
                <w:rFonts w:hint="default" w:ascii="宋体" w:hAnsi="宋体" w:eastAsia="宋体" w:cs="宋体"/>
                <w:sz w:val="24"/>
                <w:szCs w:val="24"/>
                <w:highlight w:val="none"/>
              </w:rPr>
              <w:t>以教研室为单位实施三级监控，覆盖课程设计、教学实施、过程考核和教学评价，通过期初、期中、期末检查、随堂听课、教学文件抽查、学生座谈和问卷调查，实现动态监控与问题整改。</w:t>
            </w:r>
          </w:p>
          <w:p w14:paraId="60BFEB39">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default" w:ascii="宋体" w:hAnsi="宋体" w:eastAsia="宋体" w:cs="宋体"/>
                <w:b/>
                <w:bCs/>
                <w:sz w:val="24"/>
                <w:szCs w:val="24"/>
                <w:highlight w:val="none"/>
              </w:rPr>
              <w:t>外方参与保障</w:t>
            </w:r>
            <w:r>
              <w:rPr>
                <w:rFonts w:hint="default" w:ascii="宋体" w:hAnsi="宋体" w:eastAsia="宋体" w:cs="宋体"/>
                <w:sz w:val="24"/>
                <w:szCs w:val="24"/>
                <w:highlight w:val="none"/>
              </w:rPr>
              <w:t>：爱方依托自身质量保障体系，重点审核课程目标、内容、考核标准和师资资质。外方教师定期提交教学大纲和授课计划，并接受中方审核。部分核心课程采用中外双师协同授课，确保教学质量接轨国际标准。</w:t>
            </w:r>
          </w:p>
        </w:tc>
      </w:tr>
      <w:tr w14:paraId="42E8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9264" w:type="dxa"/>
            <w:noWrap w:val="0"/>
            <w:vAlign w:val="top"/>
          </w:tcPr>
          <w:p w14:paraId="6961307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培养质量及取得的社会效益等办学成果情况：</w:t>
            </w:r>
          </w:p>
          <w:p w14:paraId="22C41E9E">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一是人才培养质量稳步提升。</w:t>
            </w:r>
            <w:r>
              <w:rPr>
                <w:rFonts w:hint="eastAsia" w:ascii="宋体" w:hAnsi="宋体" w:cs="宋体"/>
                <w:sz w:val="24"/>
                <w:szCs w:val="24"/>
                <w:highlight w:val="none"/>
                <w:lang w:val="en-US" w:eastAsia="zh-CN"/>
              </w:rPr>
              <w:t>近三年学生在“互联网+”、“挑战杯”、全国大学生数学建模竞赛、学创杯等赛事中累计获奖130余项，涌现出一批优秀社会实践个人和实践团队。</w:t>
            </w:r>
          </w:p>
          <w:p w14:paraId="4460FA2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本项目录取分数线连续多年位居省内同类项目前列，近三届毕业生毕业率保持在98%以上。2026年专接本报录比表现突出，报名71人，过线68人，过线率达95.77%。</w:t>
            </w:r>
          </w:p>
          <w:p w14:paraId="3C74CF6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此外，本项目累计选派过215名学生于在读期间赴爱尔兰格里菲斯学院学习，这些学生在获得中爱双证之后，相继考取了英国格拉斯哥大学、英国利兹大学、英国卡迪夫大学、英国约克大学、澳大利亚悉尼大学、澳大利亚昆士兰大学、澳大利亚莫纳什大学、澳大利亚新南威尔士大学等国外知名院校继续攻读硕士研究生，学历层次得到了进一步提升。</w:t>
            </w:r>
          </w:p>
          <w:p w14:paraId="474BB4B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二是金融类相关学科专业提质升级。</w:t>
            </w:r>
            <w:r>
              <w:rPr>
                <w:rFonts w:hint="eastAsia" w:ascii="宋体" w:hAnsi="宋体" w:cs="宋体"/>
                <w:sz w:val="24"/>
                <w:szCs w:val="24"/>
                <w:highlight w:val="none"/>
                <w:lang w:val="en-US" w:eastAsia="zh-CN"/>
              </w:rPr>
              <w:t>本项目依托爱尔兰格里菲斯学院会计与金融领域顶尖办学优势，深度引进国际先进金融财会教学体系、行业标准与执业认证资源，为我校金融学省级重点学科建设注入国际化内核，全方位带动校内金融类专业内涵式建设。在专业课程建设层面，中外联合教研形成的模块化课程设计、双准则财会实训、中外金融市场对比教学等成熟教学范式，为金融类相关专业课程建设提供了有益借鉴。项目沉淀的原版教材审核机制、中外教师协同备课、国际化实践案例库、全流程教学质量监控办法，统一纳入学校财经类专业教学管理制度体系，推动全校金融类相关专业更新课程大纲、重构实践教学环节，优化新财经人才培养方案，实现专科中外合作办学成果向本科专业辐射共享，全面提升学校财经学科整体教学标准化、国际化水平。</w:t>
            </w:r>
          </w:p>
          <w:p w14:paraId="1A8C3D9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bCs/>
                <w:sz w:val="24"/>
                <w:szCs w:val="24"/>
                <w:highlight w:val="none"/>
                <w:lang w:val="en-US" w:eastAsia="zh-CN"/>
              </w:rPr>
              <w:t>三是国际化师资队伍水平显著提高。</w:t>
            </w:r>
            <w:r>
              <w:rPr>
                <w:rFonts w:hint="eastAsia" w:ascii="宋体" w:hAnsi="宋体" w:cs="宋体"/>
                <w:b w:val="0"/>
                <w:bCs w:val="0"/>
                <w:sz w:val="24"/>
                <w:szCs w:val="24"/>
                <w:highlight w:val="none"/>
                <w:lang w:val="en-US" w:eastAsia="zh-CN"/>
              </w:rPr>
              <w:t>在中爱合作办学项目的支撑和带动下，我校在爱尔兰格里菲斯学院建立了教师海外研修基地，截至目前，已累计选派101名教师赴爱尔兰访学、研修，为打造全校国际化师资队伍奠定了坚实基础。派出教师为我校带回了爱尔兰优质教学资源和先进科学的教学管理方法，对我校应用型优质本科大学的建设工作起到了巨大的推动作用。</w:t>
            </w:r>
          </w:p>
          <w:p w14:paraId="7A912FA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bCs/>
                <w:sz w:val="24"/>
                <w:szCs w:val="24"/>
                <w:highlight w:val="none"/>
                <w:lang w:val="en-US" w:eastAsia="zh-CN"/>
              </w:rPr>
              <w:t>四是学校中外合作办学影响力有力提升。</w:t>
            </w:r>
            <w:r>
              <w:rPr>
                <w:rFonts w:hint="eastAsia" w:ascii="宋体" w:hAnsi="宋体" w:cs="宋体"/>
                <w:b w:val="0"/>
                <w:bCs w:val="0"/>
                <w:sz w:val="24"/>
                <w:szCs w:val="24"/>
                <w:highlight w:val="none"/>
                <w:lang w:val="en-US" w:eastAsia="zh-CN"/>
              </w:rPr>
              <w:t>在本项目顺利开展的基础上，我校还先后与格里菲斯学院合作开展了大数据与会计专科项目，以及金融学、会计学本科项目。鉴于我校在中外合作办学项目方面所取得的成绩，2013年4月，河北省教育厅委托我校承办河北省教育文化国际交流与合作协会中外合作办学研究会成立大会，并将河北省中外合作办学研究会秘书处设在我校。自中外合作办学研究会成立以来，秘书处充分发挥其沟通交流和服务的平台作用，牵头组织河北省中外合作办学研讨会、教育部国际司中外合作办学政策宣讲河北省分会场等活动；联合6所省内高校，牵头申报并获批教育厅人文类重大课题攻关项目《“统筹“请进来”“走出去”，河北高校国际化办学高质量发展建设研究”》；向省内高校提供中外合作办学申报、日常办学与定期评估等日常咨询，为河北省中外合作办学高质量发展贡献了坚实之力。</w:t>
            </w:r>
          </w:p>
          <w:p w14:paraId="01C063D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cs="宋体"/>
                <w:b/>
                <w:bCs/>
                <w:sz w:val="24"/>
                <w:szCs w:val="24"/>
                <w:highlight w:val="none"/>
                <w:lang w:val="en-US" w:eastAsia="zh-CN"/>
              </w:rPr>
              <w:t>五是“爱尔兰研究中心”获得教育部国际司备案。</w:t>
            </w:r>
            <w:r>
              <w:rPr>
                <w:rFonts w:hint="eastAsia" w:ascii="宋体" w:hAnsi="宋体" w:cs="宋体"/>
                <w:b w:val="0"/>
                <w:bCs w:val="0"/>
                <w:sz w:val="24"/>
                <w:szCs w:val="24"/>
                <w:highlight w:val="none"/>
                <w:lang w:val="en-US" w:eastAsia="zh-CN"/>
              </w:rPr>
              <w:t>2017年，我校爱尔兰研究中心获批成为教育部国际司正式备案的国别区域研究中心，这是我校中爱合作办学项目深层次、全方位、内涵式发展的又一标志性成果，为两国金融企业和高校之间搭建了交流平台，成为国内爱尔兰研究的特色智库。截至目前，中心立项教育部高校国别和区域研究课题2项，完成59项校级课题研究，发表爱尔兰研究相关论文19篇，主办或参与联办爱尔兰研究全国学术研讨会6次，有力提升了学校的国别区域研究影响力。</w:t>
            </w:r>
          </w:p>
        </w:tc>
      </w:tr>
      <w:tr w14:paraId="2BEA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9264" w:type="dxa"/>
            <w:noWrap w:val="0"/>
            <w:vAlign w:val="top"/>
          </w:tcPr>
          <w:p w14:paraId="7EA4796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（5）自评发现的主要问题及整改计划：</w:t>
            </w:r>
          </w:p>
          <w:p w14:paraId="600D209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i w:val="0"/>
                <w:iCs w:val="0"/>
                <w:sz w:val="24"/>
                <w:szCs w:val="24"/>
                <w:highlight w:val="none"/>
                <w:lang w:val="en-US" w:eastAsia="zh-CN"/>
              </w:rPr>
              <w:t>1.</w:t>
            </w:r>
            <w:r>
              <w:rPr>
                <w:rFonts w:hint="default" w:ascii="宋体" w:hAnsi="宋体" w:eastAsia="宋体" w:cs="宋体"/>
                <w:b/>
                <w:bCs/>
                <w:i w:val="0"/>
                <w:iCs w:val="0"/>
                <w:sz w:val="24"/>
                <w:szCs w:val="24"/>
                <w:highlight w:val="none"/>
              </w:rPr>
              <w:t>主要问题</w:t>
            </w:r>
          </w:p>
          <w:p w14:paraId="0D00487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一是</w:t>
            </w:r>
            <w:r>
              <w:rPr>
                <w:rFonts w:hint="default" w:ascii="宋体" w:hAnsi="宋体" w:eastAsia="宋体" w:cs="宋体"/>
                <w:b/>
                <w:bCs/>
                <w:sz w:val="24"/>
                <w:szCs w:val="24"/>
                <w:highlight w:val="none"/>
              </w:rPr>
              <w:t>专科学生对外方全英文专业课程的适应性不足</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本项目引进外方课程15门，其中专业核心课程13门（占核心课程总数的100%）</w:t>
            </w:r>
            <w:r>
              <w:rPr>
                <w:rFonts w:hint="eastAsia" w:ascii="宋体" w:hAnsi="宋体" w:cs="宋体"/>
                <w:sz w:val="24"/>
                <w:szCs w:val="24"/>
                <w:highlight w:val="none"/>
                <w:lang w:val="en-US" w:eastAsia="zh-CN"/>
              </w:rPr>
              <w:t>均由</w:t>
            </w:r>
            <w:r>
              <w:rPr>
                <w:rFonts w:hint="default" w:ascii="宋体" w:hAnsi="宋体" w:eastAsia="宋体" w:cs="宋体"/>
                <w:sz w:val="24"/>
                <w:szCs w:val="24"/>
                <w:highlight w:val="none"/>
              </w:rPr>
              <w:t>外方教师承担课程教学。然而，专科学生入学英语基础普遍弱于本科生，且学制仅为三年，语言能力提升的时间窗口较为有限。实际教学中，部分学生在低年级难以适应全英文或双语授课，</w:t>
            </w:r>
            <w:r>
              <w:rPr>
                <w:rFonts w:hint="eastAsia" w:ascii="宋体" w:hAnsi="宋体" w:cs="宋体"/>
                <w:sz w:val="24"/>
                <w:szCs w:val="24"/>
                <w:highlight w:val="none"/>
                <w:lang w:val="en-US" w:eastAsia="zh-CN"/>
              </w:rPr>
              <w:t>从而</w:t>
            </w:r>
            <w:r>
              <w:rPr>
                <w:rFonts w:hint="default" w:ascii="宋体" w:hAnsi="宋体" w:eastAsia="宋体" w:cs="宋体"/>
                <w:sz w:val="24"/>
                <w:szCs w:val="24"/>
                <w:highlight w:val="none"/>
              </w:rPr>
              <w:t>课堂参与度和学习效果</w:t>
            </w:r>
            <w:r>
              <w:rPr>
                <w:rFonts w:hint="eastAsia" w:ascii="宋体" w:hAnsi="宋体" w:cs="宋体"/>
                <w:sz w:val="24"/>
                <w:szCs w:val="24"/>
                <w:highlight w:val="none"/>
                <w:lang w:val="en-US" w:eastAsia="zh-CN"/>
              </w:rPr>
              <w:t>较为一般</w:t>
            </w:r>
            <w:r>
              <w:rPr>
                <w:rFonts w:hint="default" w:ascii="宋体" w:hAnsi="宋体" w:eastAsia="宋体" w:cs="宋体"/>
                <w:sz w:val="24"/>
                <w:szCs w:val="24"/>
                <w:highlight w:val="none"/>
              </w:rPr>
              <w:t>，</w:t>
            </w:r>
            <w:r>
              <w:rPr>
                <w:rFonts w:hint="eastAsia" w:ascii="宋体" w:hAnsi="宋体" w:cs="宋体"/>
                <w:sz w:val="24"/>
                <w:szCs w:val="24"/>
                <w:highlight w:val="none"/>
                <w:lang w:val="en-US" w:eastAsia="zh-CN"/>
              </w:rPr>
              <w:t>一定程度上影响了</w:t>
            </w:r>
            <w:r>
              <w:rPr>
                <w:rFonts w:hint="default" w:ascii="宋体" w:hAnsi="宋体" w:eastAsia="宋体" w:cs="宋体"/>
                <w:sz w:val="24"/>
                <w:szCs w:val="24"/>
                <w:highlight w:val="none"/>
              </w:rPr>
              <w:t>学生对国际化专业知识的理解与吸收。</w:t>
            </w:r>
          </w:p>
          <w:p w14:paraId="34E8369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eastAsia" w:ascii="宋体" w:hAnsi="宋体" w:cs="宋体"/>
                <w:b/>
                <w:bCs/>
                <w:sz w:val="24"/>
                <w:szCs w:val="24"/>
                <w:highlight w:val="none"/>
                <w:lang w:val="en-US" w:eastAsia="zh-CN"/>
              </w:rPr>
              <w:t>二是</w:t>
            </w:r>
            <w:r>
              <w:rPr>
                <w:rFonts w:hint="default" w:ascii="宋体" w:hAnsi="宋体" w:eastAsia="宋体" w:cs="宋体"/>
                <w:b/>
                <w:bCs/>
                <w:sz w:val="24"/>
                <w:szCs w:val="24"/>
                <w:highlight w:val="none"/>
              </w:rPr>
              <w:t>实践教学体系与金融行业数字化转型的衔接不够紧密</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项目虽已设置校外专业实习、集中实践等环节，但实训平台和课程内容的更新速度滞后于金融科技、数字普惠金融、绿色金融等领域的快速发展。目前与金融机构的合作多停留在企业参观、专家讲座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网点实习等</w:t>
            </w:r>
            <w:r>
              <w:rPr>
                <w:rFonts w:hint="default" w:ascii="宋体" w:hAnsi="宋体" w:eastAsia="宋体" w:cs="宋体"/>
                <w:sz w:val="24"/>
                <w:szCs w:val="24"/>
                <w:highlight w:val="none"/>
              </w:rPr>
              <w:t>层面，学生在智能风控、大数据分析、数字支付等新兴领域的真实业务场景操作能力和综合应用能力有待进一步</w:t>
            </w:r>
            <w:r>
              <w:rPr>
                <w:rFonts w:hint="eastAsia" w:ascii="宋体" w:hAnsi="宋体" w:cs="宋体"/>
                <w:sz w:val="24"/>
                <w:szCs w:val="24"/>
                <w:highlight w:val="none"/>
                <w:lang w:val="en-US" w:eastAsia="zh-CN"/>
              </w:rPr>
              <w:t>锻炼和</w:t>
            </w:r>
            <w:r>
              <w:rPr>
                <w:rFonts w:hint="default" w:ascii="宋体" w:hAnsi="宋体" w:eastAsia="宋体" w:cs="宋体"/>
                <w:sz w:val="24"/>
                <w:szCs w:val="24"/>
                <w:highlight w:val="none"/>
              </w:rPr>
              <w:t>提升。</w:t>
            </w:r>
          </w:p>
          <w:p w14:paraId="6EA60C8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lang w:val="en-US" w:eastAsia="zh-CN"/>
              </w:rPr>
              <w:t>整改计划</w:t>
            </w:r>
          </w:p>
          <w:p w14:paraId="7556EAB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针对上述问题，本项目将采取以下整改措施：</w:t>
            </w:r>
          </w:p>
          <w:p w14:paraId="2C4745C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一是</w:t>
            </w:r>
            <w:r>
              <w:rPr>
                <w:rFonts w:hint="default" w:ascii="宋体" w:hAnsi="宋体" w:eastAsia="宋体" w:cs="宋体"/>
                <w:b/>
                <w:bCs/>
                <w:sz w:val="24"/>
                <w:szCs w:val="24"/>
                <w:highlight w:val="none"/>
              </w:rPr>
              <w:t>构建分层递进式语言与学术能力支持体系</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首先，</w:t>
            </w:r>
            <w:r>
              <w:rPr>
                <w:rFonts w:hint="default" w:ascii="宋体" w:hAnsi="宋体" w:eastAsia="宋体" w:cs="宋体"/>
                <w:sz w:val="24"/>
                <w:szCs w:val="24"/>
                <w:highlight w:val="none"/>
              </w:rPr>
              <w:t>在新生入学前开设“学术英语前置课程”线上模块，帮助学生提前强化专业英语基础。</w:t>
            </w:r>
            <w:r>
              <w:rPr>
                <w:rFonts w:hint="eastAsia" w:ascii="宋体" w:hAnsi="宋体" w:cs="宋体"/>
                <w:sz w:val="24"/>
                <w:szCs w:val="24"/>
                <w:highlight w:val="none"/>
                <w:lang w:val="en-US" w:eastAsia="zh-CN"/>
              </w:rPr>
              <w:t>其次，</w:t>
            </w:r>
            <w:r>
              <w:rPr>
                <w:rFonts w:hint="default" w:ascii="宋体" w:hAnsi="宋体" w:eastAsia="宋体" w:cs="宋体"/>
                <w:sz w:val="24"/>
                <w:szCs w:val="24"/>
                <w:highlight w:val="none"/>
              </w:rPr>
              <w:t>在外方专业课程中，优化“外教主讲+中方助教”双师协同模式，由中方助教根据学生英语水平实施分级课后辅导。</w:t>
            </w:r>
            <w:r>
              <w:rPr>
                <w:rFonts w:hint="eastAsia" w:ascii="宋体" w:hAnsi="宋体" w:cs="宋体"/>
                <w:sz w:val="24"/>
                <w:szCs w:val="24"/>
                <w:highlight w:val="none"/>
                <w:lang w:val="en-US" w:eastAsia="zh-CN"/>
              </w:rPr>
              <w:t>最后，</w:t>
            </w:r>
            <w:r>
              <w:rPr>
                <w:rFonts w:hint="default" w:ascii="宋体" w:hAnsi="宋体" w:eastAsia="宋体" w:cs="宋体"/>
                <w:sz w:val="24"/>
                <w:szCs w:val="24"/>
                <w:highlight w:val="none"/>
              </w:rPr>
              <w:t>依托引进的语言与文化类课程，建立“英语角”“学术沙龙”和“朋辈导师”机制，组织高年级优秀学生结对帮扶英语薄弱学生，确保学生在第二学期末基本适应全英文教学环境。</w:t>
            </w:r>
          </w:p>
          <w:p w14:paraId="7B63D19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bCs/>
                <w:sz w:val="24"/>
                <w:szCs w:val="24"/>
                <w:highlight w:val="none"/>
                <w:lang w:val="en-US" w:eastAsia="zh-CN"/>
              </w:rPr>
              <w:t>二是</w:t>
            </w:r>
            <w:r>
              <w:rPr>
                <w:rFonts w:hint="default" w:ascii="宋体" w:hAnsi="宋体" w:eastAsia="宋体" w:cs="宋体"/>
                <w:b/>
                <w:bCs/>
                <w:sz w:val="24"/>
                <w:szCs w:val="24"/>
                <w:highlight w:val="none"/>
              </w:rPr>
              <w:t>深化产教融合，升级数智化实践教学体系</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首先，</w:t>
            </w:r>
            <w:r>
              <w:rPr>
                <w:rFonts w:hint="default" w:ascii="宋体" w:hAnsi="宋体" w:eastAsia="宋体" w:cs="宋体"/>
                <w:sz w:val="24"/>
                <w:szCs w:val="24"/>
                <w:highlight w:val="none"/>
              </w:rPr>
              <w:t>与合作金融机构共建实践教学工作坊，引入行业真实案例和脱敏数据，开发前沿实训项目。</w:t>
            </w:r>
            <w:r>
              <w:rPr>
                <w:rFonts w:hint="eastAsia" w:ascii="宋体" w:hAnsi="宋体" w:cs="宋体"/>
                <w:sz w:val="24"/>
                <w:szCs w:val="24"/>
                <w:highlight w:val="none"/>
                <w:lang w:val="en-US" w:eastAsia="zh-CN"/>
              </w:rPr>
              <w:t>其次，</w:t>
            </w:r>
            <w:r>
              <w:rPr>
                <w:rFonts w:hint="default" w:ascii="宋体" w:hAnsi="宋体" w:eastAsia="宋体" w:cs="宋体"/>
                <w:sz w:val="24"/>
                <w:szCs w:val="24"/>
                <w:highlight w:val="none"/>
              </w:rPr>
              <w:t>升级校内实训平台，增加大数据风控、智能营销、数字支付等模块化训练内容。</w:t>
            </w:r>
            <w:r>
              <w:rPr>
                <w:rFonts w:hint="eastAsia" w:ascii="宋体" w:hAnsi="宋体" w:cs="宋体"/>
                <w:sz w:val="24"/>
                <w:szCs w:val="24"/>
                <w:highlight w:val="none"/>
                <w:lang w:val="en-US" w:eastAsia="zh-CN"/>
              </w:rPr>
              <w:t>最后，</w:t>
            </w:r>
            <w:r>
              <w:rPr>
                <w:rFonts w:hint="default" w:ascii="宋体" w:hAnsi="宋体" w:eastAsia="宋体" w:cs="宋体"/>
                <w:sz w:val="24"/>
                <w:szCs w:val="24"/>
                <w:highlight w:val="none"/>
              </w:rPr>
              <w:t>实施“双导师制”下的项目制学习，要求学生在第二学年以小组形式完成一项针对真实业务问题的实践项目，切实提升解决实际问题的能力。</w:t>
            </w:r>
          </w:p>
        </w:tc>
      </w:tr>
    </w:tbl>
    <w:p w14:paraId="16256CE1">
      <w:pPr>
        <w:snapToGrid w:val="0"/>
        <w:spacing w:line="360" w:lineRule="auto"/>
        <w:rPr>
          <w:rFonts w:ascii="Times New Roman" w:hAnsi="Times New Roman" w:eastAsia="宋体" w:cs="Times New Roman"/>
          <w:b/>
          <w:spacing w:val="20"/>
          <w:sz w:val="28"/>
          <w:szCs w:val="28"/>
        </w:rPr>
      </w:pPr>
      <w:r>
        <w:rPr>
          <w:rFonts w:ascii="Times New Roman" w:hAnsi="Times New Roman" w:eastAsia="宋体" w:cs="Times New Roman"/>
          <w:b/>
          <w:sz w:val="28"/>
          <w:szCs w:val="28"/>
        </w:rPr>
        <w:t>四、师德师风建设机制与做法</w:t>
      </w:r>
      <w:r>
        <w:rPr>
          <w:rFonts w:ascii="Times New Roman" w:hAnsi="Times New Roman" w:eastAsia="宋体" w:cs="Times New Roman"/>
          <w:b/>
          <w:szCs w:val="21"/>
        </w:rPr>
        <w:t>（限1000字内）</w:t>
      </w:r>
    </w:p>
    <w:p w14:paraId="4CCDF25B">
      <w:pPr>
        <w:ind w:firstLine="420" w:firstLineChars="200"/>
        <w:rPr>
          <w:rFonts w:ascii="Times New Roman" w:hAnsi="Times New Roman" w:eastAsia="宋体" w:cs="Times New Roman"/>
          <w:szCs w:val="21"/>
        </w:rPr>
      </w:pPr>
      <w:r>
        <w:rPr>
          <w:rFonts w:ascii="Times New Roman" w:hAnsi="Times New Roman" w:eastAsia="宋体" w:cs="Times New Roman"/>
          <w:szCs w:val="21"/>
        </w:rPr>
        <w:t>简要阐述本项目师德师风建设机制与做法，以及主要成效。</w:t>
      </w:r>
    </w:p>
    <w:tbl>
      <w:tblPr>
        <w:tblStyle w:val="5"/>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9"/>
      </w:tblGrid>
      <w:tr w14:paraId="354B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239" w:type="dxa"/>
            <w:noWrap w:val="0"/>
            <w:vAlign w:val="top"/>
          </w:tcPr>
          <w:p w14:paraId="79529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（一）建设机制</w:t>
            </w:r>
            <w:r>
              <w:rPr>
                <w:rFonts w:hint="eastAsia" w:ascii="宋体" w:hAnsi="宋体" w:eastAsia="宋体" w:cs="宋体"/>
                <w:sz w:val="24"/>
                <w:szCs w:val="24"/>
                <w:highlight w:val="none"/>
                <w:lang w:val="en-US" w:eastAsia="zh-CN"/>
              </w:rPr>
              <w:t>与做法</w:t>
            </w:r>
          </w:p>
          <w:p w14:paraId="4D1AFA9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本项目始终将师德师风作为教师队伍建设的首要任务，构建了“制度约束+理论引领+实践锤炼+考核激励”四位一体的长效机制。</w:t>
            </w:r>
          </w:p>
          <w:p w14:paraId="6F9C938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1.制度约束，筑牢底线</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完善《国际教育学院师德师风考核实施办法》</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金融与投资学院</w:t>
            </w:r>
            <w:r>
              <w:rPr>
                <w:rFonts w:hint="default" w:ascii="宋体" w:hAnsi="宋体" w:eastAsia="宋体" w:cs="宋体"/>
                <w:sz w:val="24"/>
                <w:szCs w:val="24"/>
                <w:highlight w:val="none"/>
              </w:rPr>
              <w:t>师德师风考核实施办法</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《班主任管理办法》，将师德师风考核与任课教师、班主任、辅导员考核有机结合</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强化课堂教学纪律，明确教书育人职责，为教师行为划清红线。</w:t>
            </w:r>
          </w:p>
          <w:p w14:paraId="4A39035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2.理论引领，涵养初心</w:t>
            </w:r>
            <w:r>
              <w:rPr>
                <w:rFonts w:hint="eastAsia" w:ascii="宋体" w:hAnsi="宋体" w:cs="宋体"/>
                <w:b/>
                <w:bCs/>
                <w:sz w:val="24"/>
                <w:szCs w:val="24"/>
                <w:highlight w:val="none"/>
                <w:lang w:eastAsia="zh-CN"/>
              </w:rPr>
              <w:t>。</w:t>
            </w:r>
            <w:r>
              <w:rPr>
                <w:rFonts w:hint="default" w:ascii="宋体" w:hAnsi="宋体" w:eastAsia="宋体" w:cs="宋体"/>
                <w:sz w:val="24"/>
                <w:szCs w:val="24"/>
                <w:highlight w:val="none"/>
              </w:rPr>
              <w:t>加强教工党支部和教研室理论学习，组织学习《看万山红遍——中国共产党人的精神谱系》，编制《专科教育文件制度汇编》《教育部师德师风学习资料汇编》</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面向青年教师开展“师德师风”专题讲座，充分发挥党员教师先锋模范作用，带动全体教师形成严谨治学、敬业爱生的良好教风。</w:t>
            </w:r>
          </w:p>
          <w:p w14:paraId="1A1E70B9">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3.实践锤炼，知行合一</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组建党务工作者专题培训班；以教研室为单位开展学习交流，对外方授课课程配备中方教师跟课，将师德师风建设与课程思政有机融合。依托“博研大讲堂”，坚持“教人者必先受教”，提升教师师德素养、学术能力和育人水平。聚焦“四风”问题，在重要节点通过召开会议、观看警示片加强纪律提醒。将班主任进课堂、教师座谈会、班级管理工作论坛、家长观察员纳入常态化工作。通过教学竞赛、课程思政示范课建设等活动树立师德典型。严抓教学纪律，加强课堂督导，建立新老教师“传帮带”机制，促进师德传承。在专业课程建设中融入思政元素，提升教师课程思政能力，实现知识传授与价值引领的统一。</w:t>
            </w:r>
          </w:p>
          <w:p w14:paraId="66A602D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4.考核激励，压实责任</w:t>
            </w:r>
            <w:r>
              <w:rPr>
                <w:rFonts w:hint="eastAsia" w:ascii="宋体" w:hAnsi="宋体" w:cs="宋体"/>
                <w:sz w:val="24"/>
                <w:szCs w:val="24"/>
                <w:highlight w:val="none"/>
                <w:lang w:eastAsia="zh-CN"/>
              </w:rPr>
              <w:t>。</w:t>
            </w:r>
            <w:r>
              <w:rPr>
                <w:rFonts w:hint="default" w:ascii="宋体" w:hAnsi="宋体" w:eastAsia="宋体" w:cs="宋体"/>
                <w:sz w:val="24"/>
                <w:szCs w:val="24"/>
                <w:highlight w:val="none"/>
              </w:rPr>
              <w:t>每月召开学院师德师风建设例会，梳理风险点并及时整改。将家长、学生纳入师德师风考评体系，随机听取反馈意见。师德师风考评纳入全体教师年终考核，确保责任落实到位。</w:t>
            </w:r>
          </w:p>
          <w:p w14:paraId="62E11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二）</w:t>
            </w:r>
            <w:r>
              <w:rPr>
                <w:rFonts w:hint="default" w:ascii="宋体" w:hAnsi="宋体" w:eastAsia="宋体" w:cs="宋体"/>
                <w:sz w:val="24"/>
                <w:szCs w:val="24"/>
                <w:highlight w:val="none"/>
              </w:rPr>
              <w:t>主要成效</w:t>
            </w:r>
          </w:p>
          <w:p w14:paraId="47F41C7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通过制度建设、党建引领和中外协同授课，项目教师无任何教学事故或师德失范行为，近三年12人次获评校级“优秀教学奖”。学生评教平均分保持在95分以上，师德师风赢得广泛认可。依托“传帮带”机制和课程思政全覆盖，教师育人能力持续提升。毕业生就业率连续三年超90%，用人单位普遍反馈学生职业素养好、规则意识强，形成了良好示范效应。</w:t>
            </w:r>
          </w:p>
          <w:p w14:paraId="18FD1408">
            <w:pPr>
              <w:widowControl/>
              <w:spacing w:after="120" w:afterLines="50"/>
              <w:rPr>
                <w:rFonts w:ascii="Times New Roman" w:hAnsi="Times New Roman" w:eastAsia="宋体" w:cs="Times New Roman"/>
              </w:rPr>
            </w:pPr>
          </w:p>
        </w:tc>
      </w:tr>
    </w:tbl>
    <w:p w14:paraId="31EBE4A8">
      <w:pPr>
        <w:snapToGrid w:val="0"/>
        <w:spacing w:line="360" w:lineRule="auto"/>
        <w:rPr>
          <w:rFonts w:ascii="Times New Roman" w:hAnsi="Times New Roman" w:eastAsia="宋体" w:cs="Times New Roman"/>
          <w:b/>
          <w:spacing w:val="20"/>
          <w:sz w:val="28"/>
          <w:szCs w:val="28"/>
        </w:rPr>
      </w:pPr>
      <w:r>
        <w:rPr>
          <w:rFonts w:ascii="Times New Roman" w:hAnsi="Times New Roman" w:eastAsia="宋体" w:cs="Times New Roman"/>
          <w:b/>
          <w:sz w:val="28"/>
          <w:szCs w:val="28"/>
        </w:rPr>
        <w:t>五、培养方案执行情况说明</w:t>
      </w:r>
      <w:r>
        <w:rPr>
          <w:rFonts w:ascii="Times New Roman" w:hAnsi="Times New Roman" w:eastAsia="宋体" w:cs="Times New Roman"/>
          <w:b/>
          <w:szCs w:val="21"/>
        </w:rPr>
        <w:t>（限5000字内）</w:t>
      </w:r>
    </w:p>
    <w:p w14:paraId="312004DC">
      <w:pPr>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重点阐述本项目培养方案执行情况。主要内容如下：（1）中外方参与制定培养方案、教学计划、教学大纲、教学质量监督体系等情况；（2）教学质量监督体系及执行情况；（3）中方对教材、教案、课件等的审核机制与执行情况，以及发现的主要问题与举措</w:t>
      </w:r>
      <w:r>
        <w:rPr>
          <w:rFonts w:hint="eastAsia" w:ascii="Times New Roman" w:hAnsi="Times New Roman" w:eastAsia="宋体" w:cs="Times New Roman"/>
          <w:szCs w:val="21"/>
          <w:lang w:eastAsia="zh-CN"/>
        </w:rPr>
        <w:t>；</w:t>
      </w:r>
      <w:r>
        <w:rPr>
          <w:rFonts w:ascii="Times New Roman" w:hAnsi="Times New Roman" w:eastAsia="宋体" w:cs="Times New Roman"/>
          <w:szCs w:val="21"/>
        </w:rPr>
        <w:t>（4）疫情期间，在线课程教学运行管理机制和评价机制</w:t>
      </w:r>
      <w:r>
        <w:rPr>
          <w:rFonts w:hint="eastAsia" w:ascii="Times New Roman" w:hAnsi="Times New Roman" w:eastAsia="宋体" w:cs="Times New Roman"/>
          <w:szCs w:val="21"/>
        </w:rPr>
        <w:t>（包括课程建设、质量审查、运行保障、效果测评等）</w:t>
      </w:r>
      <w:r>
        <w:rPr>
          <w:rFonts w:ascii="Times New Roman" w:hAnsi="Times New Roman" w:eastAsia="宋体" w:cs="Times New Roman"/>
          <w:szCs w:val="21"/>
        </w:rPr>
        <w:t>；</w:t>
      </w:r>
      <w:r>
        <w:rPr>
          <w:rFonts w:hint="eastAsia" w:ascii="Times New Roman" w:hAnsi="Times New Roman" w:eastAsia="宋体" w:cs="Times New Roman"/>
          <w:szCs w:val="21"/>
          <w:lang w:eastAsia="zh-CN"/>
        </w:rPr>
        <w:t>（</w:t>
      </w:r>
      <w:r>
        <w:rPr>
          <w:rFonts w:ascii="Times New Roman" w:hAnsi="Times New Roman" w:eastAsia="宋体" w:cs="Times New Roman"/>
          <w:szCs w:val="21"/>
        </w:rPr>
        <w:t>5）对不能按照计划完成学业的学生建立分流机制并制定相应培养方案情况（</w:t>
      </w:r>
      <w:r>
        <w:rPr>
          <w:rFonts w:hint="eastAsia" w:ascii="Times New Roman" w:hAnsi="Times New Roman" w:eastAsia="宋体" w:cs="Times New Roman"/>
          <w:szCs w:val="21"/>
        </w:rPr>
        <w:t>选填</w:t>
      </w:r>
      <w:r>
        <w:rPr>
          <w:rFonts w:ascii="Times New Roman" w:hAnsi="Times New Roman" w:eastAsia="宋体" w:cs="Times New Roman"/>
          <w:szCs w:val="21"/>
        </w:rPr>
        <w:t>）；（6）外方选派教师对</w:t>
      </w:r>
      <w:r>
        <w:rPr>
          <w:rFonts w:hint="eastAsia" w:ascii="Times New Roman" w:hAnsi="Times New Roman" w:cs="Times New Roman"/>
          <w:szCs w:val="21"/>
          <w:lang w:eastAsia="zh-CN"/>
        </w:rPr>
        <w:t>学生学业</w:t>
      </w:r>
      <w:r>
        <w:rPr>
          <w:rFonts w:ascii="Times New Roman" w:hAnsi="Times New Roman" w:eastAsia="宋体" w:cs="Times New Roman"/>
          <w:szCs w:val="21"/>
        </w:rPr>
        <w:t>指导情况。</w:t>
      </w:r>
    </w:p>
    <w:p w14:paraId="77594CE9">
      <w:pPr>
        <w:ind w:firstLine="420" w:firstLineChars="200"/>
        <w:jc w:val="left"/>
        <w:rPr>
          <w:rFonts w:ascii="Times New Roman" w:hAnsi="Times New Roman" w:eastAsia="宋体" w:cs="Times New Roman"/>
          <w:szCs w:val="21"/>
        </w:rPr>
      </w:pPr>
    </w:p>
    <w:tbl>
      <w:tblPr>
        <w:tblStyle w:val="5"/>
        <w:tblW w:w="92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7"/>
      </w:tblGrid>
      <w:tr w14:paraId="2529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7" w:type="dxa"/>
            <w:noWrap w:val="0"/>
            <w:vAlign w:val="top"/>
          </w:tcPr>
          <w:p w14:paraId="5B4FF253">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szCs w:val="24"/>
              </w:rPr>
            </w:pPr>
            <w:r>
              <w:rPr>
                <w:rFonts w:ascii="Times New Roman" w:hAnsi="Times New Roman" w:eastAsia="宋体" w:cs="Times New Roman"/>
                <w:sz w:val="24"/>
                <w:szCs w:val="24"/>
              </w:rPr>
              <w:t>（1）中外方参与制定培养方案、教学计划、教学大纲、教学质量监督体系等情况：</w:t>
            </w:r>
          </w:p>
          <w:p w14:paraId="2EDB88B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本项目始终坚持国际化、高质量办学目标，致力于培养具有国际视野、专业素养高、英语应用能力强、通晓国际规则的高素质应用型复合人才。合作方爱尔兰格里菲斯学院深度参与</w:t>
            </w:r>
            <w:r>
              <w:rPr>
                <w:rFonts w:hint="eastAsia" w:ascii="宋体" w:hAnsi="宋体" w:cs="宋体"/>
                <w:sz w:val="24"/>
                <w:szCs w:val="24"/>
                <w:highlight w:val="none"/>
                <w:lang w:val="en-US" w:eastAsia="zh-CN"/>
              </w:rPr>
              <w:t>人才</w:t>
            </w:r>
            <w:r>
              <w:rPr>
                <w:rFonts w:hint="default" w:ascii="宋体" w:hAnsi="宋体" w:eastAsia="宋体" w:cs="宋体"/>
                <w:sz w:val="24"/>
                <w:szCs w:val="24"/>
                <w:highlight w:val="none"/>
              </w:rPr>
              <w:t>培养方案、教学计划、教学大纲及教学质量监督体系的制定与实施，为项目的科学性、规范性和国际化提供了有力支撑。</w:t>
            </w:r>
          </w:p>
          <w:p w14:paraId="2B7FA1BB">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培养方案制定：</w:t>
            </w:r>
            <w:r>
              <w:rPr>
                <w:rFonts w:hint="default" w:ascii="宋体" w:hAnsi="宋体" w:eastAsia="宋体" w:cs="宋体"/>
                <w:sz w:val="24"/>
                <w:szCs w:val="24"/>
                <w:highlight w:val="none"/>
              </w:rPr>
              <w:t>我校教师与格里菲斯学院专业团队多次沟通，充分借鉴外方在会计与金融领域的教育优势，结合我校金融学学科特色，在人才需求调研基础上共同制定</w:t>
            </w:r>
            <w:r>
              <w:rPr>
                <w:rFonts w:hint="eastAsia" w:ascii="宋体" w:hAnsi="宋体" w:cs="宋体"/>
                <w:sz w:val="24"/>
                <w:szCs w:val="24"/>
                <w:highlight w:val="none"/>
                <w:lang w:val="en-US" w:eastAsia="zh-CN"/>
              </w:rPr>
              <w:t>人才</w:t>
            </w:r>
            <w:r>
              <w:rPr>
                <w:rFonts w:hint="default" w:ascii="宋体" w:hAnsi="宋体" w:eastAsia="宋体" w:cs="宋体"/>
                <w:sz w:val="24"/>
                <w:szCs w:val="24"/>
                <w:highlight w:val="none"/>
              </w:rPr>
              <w:t>培养方案。人才培养方案采用模块化课程架构，统筹融合专业基础、专业核心与实践实训三类课程体系，助力学生筑牢金融学理论根基、拓宽全球金融视野。外方重点提供前沿理论、行业发展趋势及符合全球化标准的课程体系，确保培养方案的科学性与国际化。</w:t>
            </w:r>
          </w:p>
          <w:p w14:paraId="634DE49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教学计划制定</w:t>
            </w:r>
            <w:r>
              <w:rPr>
                <w:rFonts w:hint="default" w:ascii="宋体" w:hAnsi="宋体" w:eastAsia="宋体" w:cs="宋体"/>
                <w:sz w:val="24"/>
                <w:szCs w:val="24"/>
                <w:highlight w:val="none"/>
              </w:rPr>
              <w:t>：中外双方共同制定教学计划，明确课程设置、学分分配、教学进度和考核标准。外方在引入国际化教学资源、设计实践性教学环节（案例分析和问题解决等）方面提供专业建议，帮助学生提升应用能力和创新意识。</w:t>
            </w:r>
          </w:p>
          <w:p w14:paraId="4E201A3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教学大纲制定</w:t>
            </w:r>
            <w:r>
              <w:rPr>
                <w:rFonts w:hint="default" w:ascii="宋体" w:hAnsi="宋体" w:eastAsia="宋体" w:cs="宋体"/>
                <w:sz w:val="24"/>
                <w:szCs w:val="24"/>
                <w:highlight w:val="none"/>
              </w:rPr>
              <w:t>：严格按照《河北金融学院关于制（修）订课程教学大纲的意见》等要求，每门课程大纲均由中外方教师共同协商制定。外方专业负责人提供指导，确保大纲内容紧跟国际学术前沿和行业趋势。大纲采用统一模板，涵盖课程目标、教学重点难点、教学方法、评价方式及实践环节，实现国际化标准与本地化需求的有效融合。</w:t>
            </w:r>
          </w:p>
          <w:p w14:paraId="1278A0D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宋体" w:cs="Times New Roman"/>
                <w:sz w:val="24"/>
                <w:szCs w:val="24"/>
              </w:rPr>
            </w:pPr>
            <w:r>
              <w:rPr>
                <w:rFonts w:hint="default" w:ascii="宋体" w:hAnsi="宋体" w:eastAsia="宋体" w:cs="宋体"/>
                <w:b/>
                <w:bCs/>
                <w:sz w:val="24"/>
                <w:szCs w:val="24"/>
                <w:highlight w:val="none"/>
              </w:rPr>
              <w:t>教学质量监督体系建设</w:t>
            </w:r>
            <w:r>
              <w:rPr>
                <w:rFonts w:hint="default" w:ascii="宋体" w:hAnsi="宋体" w:eastAsia="宋体" w:cs="宋体"/>
                <w:sz w:val="24"/>
                <w:szCs w:val="24"/>
                <w:highlight w:val="none"/>
              </w:rPr>
              <w:t>：本项目建立“教研室—学院—学校”三级教学质量监督体系。外方积极参与质量保障体系建设，协助制定监控指标，采取线上线下相结合的工作模式，统筹开展教学检查、质量评估、档案核查与课程大纲落实情况等督查工作。中外双方通过每周教研室主任会议交流教学进展，根据学生反馈调整教学方法；外方教师还参与学生座谈会、实践课程设计等环节，形成规范、协同的运行机制。</w:t>
            </w:r>
          </w:p>
          <w:p w14:paraId="02ADD3C1">
            <w:pPr>
              <w:widowControl/>
              <w:spacing w:after="120" w:afterLines="50"/>
              <w:rPr>
                <w:rFonts w:ascii="Times New Roman" w:hAnsi="Times New Roman" w:eastAsia="宋体" w:cs="Times New Roman"/>
                <w:sz w:val="24"/>
                <w:szCs w:val="24"/>
              </w:rPr>
            </w:pPr>
          </w:p>
        </w:tc>
      </w:tr>
      <w:tr w14:paraId="56A2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9267" w:type="dxa"/>
            <w:noWrap w:val="0"/>
            <w:vAlign w:val="top"/>
          </w:tcPr>
          <w:p w14:paraId="41321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教学质量监督体系及执行情况（包括教学质量监督方式、结果反馈机制、激励和惩处机制等）：</w:t>
            </w:r>
          </w:p>
          <w:p w14:paraId="1126C12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项目建立了涵盖组织管理、监控评价和信息反馈三个关键环节的教学质量监督体系，并配套激励与惩处机制，保障教学质量持续提升。</w:t>
            </w:r>
          </w:p>
          <w:p w14:paraId="0F3ABA0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教学质量监督方式：</w:t>
            </w:r>
            <w:r>
              <w:rPr>
                <w:rFonts w:hint="default" w:ascii="宋体" w:hAnsi="宋体" w:eastAsia="宋体" w:cs="宋体"/>
                <w:sz w:val="24"/>
                <w:szCs w:val="24"/>
                <w:highlight w:val="none"/>
              </w:rPr>
              <w:t>建立学校、学院、教研室三级联动监控体系，由</w:t>
            </w:r>
            <w:r>
              <w:rPr>
                <w:rFonts w:hint="eastAsia" w:ascii="宋体" w:hAnsi="宋体" w:cs="宋体"/>
                <w:sz w:val="24"/>
                <w:szCs w:val="24"/>
                <w:highlight w:val="none"/>
                <w:lang w:val="en-US" w:eastAsia="zh-CN"/>
              </w:rPr>
              <w:t>高教研究所</w:t>
            </w:r>
            <w:r>
              <w:rPr>
                <w:rFonts w:hint="default" w:ascii="宋体" w:hAnsi="宋体" w:eastAsia="宋体" w:cs="宋体"/>
                <w:sz w:val="24"/>
                <w:szCs w:val="24"/>
                <w:highlight w:val="none"/>
              </w:rPr>
              <w:t>统筹，</w:t>
            </w:r>
            <w:r>
              <w:rPr>
                <w:rFonts w:hint="eastAsia" w:ascii="宋体" w:hAnsi="宋体" w:cs="宋体"/>
                <w:sz w:val="24"/>
                <w:szCs w:val="24"/>
                <w:highlight w:val="none"/>
                <w:lang w:val="en-US" w:eastAsia="zh-CN"/>
              </w:rPr>
              <w:t>学院、</w:t>
            </w:r>
            <w:r>
              <w:rPr>
                <w:rFonts w:hint="default" w:ascii="宋体" w:hAnsi="宋体" w:eastAsia="宋体" w:cs="宋体"/>
                <w:sz w:val="24"/>
                <w:szCs w:val="24"/>
                <w:highlight w:val="none"/>
              </w:rPr>
              <w:t>教学办公室主任和二级督导员组织实施，各教研室落实日常检查。构建覆盖期初、期中、期末全过程的教学检查机制，通过院长及督导员听课、学生座谈会、学生信息员反馈、问卷调查等方式，形成多主体、多环节、多维度的监督体系。</w:t>
            </w:r>
          </w:p>
          <w:p w14:paraId="6B8605E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结果反馈机制</w:t>
            </w:r>
            <w:r>
              <w:rPr>
                <w:rFonts w:hint="default" w:ascii="宋体" w:hAnsi="宋体" w:eastAsia="宋体" w:cs="宋体"/>
                <w:sz w:val="24"/>
                <w:szCs w:val="24"/>
                <w:highlight w:val="none"/>
              </w:rPr>
              <w:t>：学院定期检查教学文档、教学进度、考核方式等，确保规范性与科学性。通过学生评教、座谈会、信息员反馈等渠道及时了解学生意见。二级督导员形成教学反馈意见，定期向教研室和学院汇报。学院组织教师改进并跟踪整改，形成“检查—反馈—整改—提升”的闭环管理。</w:t>
            </w:r>
          </w:p>
          <w:p w14:paraId="48314E6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激励和惩处机制</w:t>
            </w:r>
            <w:r>
              <w:rPr>
                <w:rFonts w:hint="default" w:ascii="宋体" w:hAnsi="宋体" w:eastAsia="宋体" w:cs="宋体"/>
                <w:sz w:val="24"/>
                <w:szCs w:val="24"/>
                <w:highlight w:val="none"/>
              </w:rPr>
              <w:t>：将教学质量评价结果与激励惩处相结合。对教学效果优良、学生满意度高的教师给予表彰奖励；对未按要求完成教学任务、评价排名靠后、负面反馈较多或整改不力的教师，视情况采取警告、暂停评优、限期整改或调整教学岗位等措施，有效激发教师教学积极性。</w:t>
            </w:r>
          </w:p>
          <w:p w14:paraId="58865BC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p>
        </w:tc>
      </w:tr>
      <w:tr w14:paraId="0D22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noWrap w:val="0"/>
            <w:vAlign w:val="top"/>
          </w:tcPr>
          <w:p w14:paraId="13547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（3）中方对教材、教案、课件等的审核机制与执行情况，以及发现的主要问题与举措：</w:t>
            </w:r>
          </w:p>
          <w:p w14:paraId="6FE9058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我校严格遵守国家和学校规章制度，专门制定《河北金融学院中外合作办学管理办法</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和</w:t>
            </w:r>
            <w:r>
              <w:rPr>
                <w:rFonts w:hint="eastAsia" w:ascii="Times New Roman" w:hAnsi="Times New Roman" w:cs="Times New Roman"/>
                <w:sz w:val="24"/>
                <w:szCs w:val="24"/>
                <w:highlight w:val="none"/>
                <w:lang w:val="en-US" w:eastAsia="zh-CN"/>
              </w:rPr>
              <w:t>《河北金融学院中外合作办学项目教学质量监控与保障管理办法（试行）》，</w:t>
            </w:r>
            <w:r>
              <w:rPr>
                <w:rFonts w:hint="default" w:ascii="宋体" w:hAnsi="宋体" w:eastAsia="宋体" w:cs="宋体"/>
                <w:sz w:val="24"/>
                <w:szCs w:val="24"/>
                <w:highlight w:val="none"/>
              </w:rPr>
              <w:t>确保教学资源符合国家教育政策及人才培养目标。</w:t>
            </w:r>
          </w:p>
          <w:p w14:paraId="158856E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教材选用审核机制：</w:t>
            </w:r>
            <w:r>
              <w:rPr>
                <w:rFonts w:hint="default" w:ascii="宋体" w:hAnsi="宋体" w:eastAsia="宋体" w:cs="宋体"/>
                <w:sz w:val="24"/>
                <w:szCs w:val="24"/>
                <w:highlight w:val="none"/>
              </w:rPr>
              <w:t>依据《河北金融学院教材选用管理规定》《教材建设管理办法》及《河北金融学院中外合作办学项目教材引进管理办法》，结合项目国际化特点，建立规范教材选用与审核机制。引进课程和共同开发课程优先选用内容先进、体系完整的外语原版教材或外文讲义；中方课程优先选用国家级、省部级规划教材及优秀教材。坚持“凡选必审”，严把政治关、学术关和适用关。教材选用实行申请、审核、审批和备案程序，由任课教师申请，经教研室、学院和学校审核通过后使用。</w:t>
            </w:r>
          </w:p>
          <w:p w14:paraId="21E64BF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highlight w:val="none"/>
                <w:lang w:eastAsia="zh-CN"/>
              </w:rPr>
            </w:pPr>
            <w:r>
              <w:rPr>
                <w:rFonts w:hint="default" w:ascii="宋体" w:hAnsi="宋体" w:eastAsia="宋体" w:cs="宋体"/>
                <w:b/>
                <w:bCs/>
                <w:sz w:val="24"/>
                <w:szCs w:val="24"/>
                <w:highlight w:val="none"/>
              </w:rPr>
              <w:t>教案与课件审核机制</w:t>
            </w:r>
            <w:r>
              <w:rPr>
                <w:rFonts w:hint="default" w:ascii="宋体" w:hAnsi="宋体" w:eastAsia="宋体" w:cs="宋体"/>
                <w:sz w:val="24"/>
                <w:szCs w:val="24"/>
                <w:highlight w:val="none"/>
              </w:rPr>
              <w:t>：教案与课件依据《</w:t>
            </w:r>
            <w:r>
              <w:rPr>
                <w:rFonts w:hint="eastAsia" w:ascii="宋体" w:hAnsi="宋体" w:cs="宋体"/>
                <w:sz w:val="24"/>
                <w:szCs w:val="24"/>
                <w:highlight w:val="none"/>
                <w:lang w:val="en-US" w:eastAsia="zh-CN"/>
              </w:rPr>
              <w:t>河北金融学院</w:t>
            </w:r>
            <w:r>
              <w:rPr>
                <w:rFonts w:hint="default" w:ascii="宋体" w:hAnsi="宋体" w:eastAsia="宋体" w:cs="宋体"/>
                <w:sz w:val="24"/>
                <w:szCs w:val="24"/>
                <w:highlight w:val="none"/>
              </w:rPr>
              <w:t>关于制（修）订课程教学大纲的意见</w:t>
            </w:r>
            <w:r>
              <w:rPr>
                <w:rFonts w:hint="eastAsia" w:ascii="宋体" w:hAnsi="宋体" w:cs="宋体"/>
                <w:sz w:val="24"/>
                <w:szCs w:val="24"/>
                <w:highlight w:val="none"/>
                <w:lang w:eastAsia="zh-CN"/>
              </w:rPr>
              <w:t>》</w:t>
            </w:r>
            <w:r>
              <w:rPr>
                <w:rFonts w:hint="eastAsia" w:ascii="Times New Roman" w:hAnsi="Times New Roman" w:cs="Times New Roman"/>
                <w:sz w:val="24"/>
                <w:szCs w:val="24"/>
                <w:highlight w:val="none"/>
                <w:lang w:val="en-US" w:eastAsia="zh-CN"/>
              </w:rPr>
              <w:t>《河北金融学院中外合作办学项目教学质量监控与保障管理办法（试行）》</w:t>
            </w:r>
            <w:r>
              <w:rPr>
                <w:rFonts w:hint="default" w:ascii="宋体" w:hAnsi="宋体" w:eastAsia="宋体" w:cs="宋体"/>
                <w:sz w:val="24"/>
                <w:szCs w:val="24"/>
                <w:highlight w:val="none"/>
              </w:rPr>
              <w:t>等文件编写。中方教师征求外方课程负责人意见，按统一模板编制教学大纲，确保内容科学性、完整性。所有教案与课件经教研室、二级督导员和学院教学办公室逐级审核，所有英文编写材料需同步开展意识形态审核，审核内容</w:t>
            </w:r>
            <w:r>
              <w:rPr>
                <w:rFonts w:hint="eastAsia" w:ascii="宋体" w:hAnsi="宋体" w:cs="宋体"/>
                <w:sz w:val="24"/>
                <w:szCs w:val="24"/>
                <w:highlight w:val="none"/>
                <w:lang w:val="en-US" w:eastAsia="zh-CN"/>
              </w:rPr>
              <w:t>是否</w:t>
            </w:r>
            <w:r>
              <w:rPr>
                <w:rFonts w:hint="default" w:ascii="宋体" w:hAnsi="宋体" w:eastAsia="宋体" w:cs="宋体"/>
                <w:sz w:val="24"/>
                <w:szCs w:val="24"/>
                <w:highlight w:val="none"/>
              </w:rPr>
              <w:t>契合社会主义核心价值观要求</w:t>
            </w:r>
            <w:r>
              <w:rPr>
                <w:rFonts w:hint="eastAsia" w:ascii="宋体" w:hAnsi="宋体" w:eastAsia="宋体" w:cs="宋体"/>
                <w:sz w:val="24"/>
                <w:szCs w:val="24"/>
                <w:highlight w:val="none"/>
                <w:lang w:val="en-US" w:eastAsia="zh-CN"/>
              </w:rPr>
              <w:t>和</w:t>
            </w:r>
            <w:r>
              <w:rPr>
                <w:rFonts w:hint="default" w:ascii="宋体" w:hAnsi="宋体" w:eastAsia="宋体" w:cs="宋体"/>
                <w:sz w:val="24"/>
                <w:szCs w:val="24"/>
                <w:highlight w:val="none"/>
              </w:rPr>
              <w:t>课程育人目标</w:t>
            </w:r>
            <w:r>
              <w:rPr>
                <w:rFonts w:hint="eastAsia" w:ascii="宋体" w:hAnsi="宋体" w:cs="宋体"/>
                <w:sz w:val="24"/>
                <w:szCs w:val="24"/>
                <w:highlight w:val="none"/>
                <w:lang w:eastAsia="zh-CN"/>
              </w:rPr>
              <w:t>。</w:t>
            </w:r>
          </w:p>
          <w:p w14:paraId="149E551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执行情况</w:t>
            </w:r>
            <w:r>
              <w:rPr>
                <w:rFonts w:hint="default" w:ascii="宋体" w:hAnsi="宋体" w:eastAsia="宋体" w:cs="宋体"/>
                <w:sz w:val="24"/>
                <w:szCs w:val="24"/>
                <w:highlight w:val="none"/>
              </w:rPr>
              <w:t>：教务处每学期下发《开课任务书》，学院组织教师填写教材选用申请表，经审核后使用。至今所有引进教材未发现与社会主义核心价值观相违背内容。每学期开课前，教案与课件经教研室和学院审核，重点检查教学目标与内容一致性及教学方法合理性。</w:t>
            </w:r>
          </w:p>
          <w:p w14:paraId="5D39E9B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发现的主要问题</w:t>
            </w:r>
            <w:r>
              <w:rPr>
                <w:rFonts w:hint="default" w:ascii="宋体" w:hAnsi="宋体" w:eastAsia="宋体" w:cs="宋体"/>
                <w:sz w:val="24"/>
                <w:szCs w:val="24"/>
                <w:highlight w:val="none"/>
              </w:rPr>
              <w:t>：一是部分教材专业词汇复杂，学生理解存在障碍；二是案例以国外公司为主，本地化不足，学生因缺乏背景知识理解困难。</w:t>
            </w:r>
          </w:p>
          <w:p w14:paraId="07EDFFB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应对举措</w:t>
            </w:r>
            <w:r>
              <w:rPr>
                <w:rFonts w:hint="default" w:ascii="宋体" w:hAnsi="宋体" w:eastAsia="宋体" w:cs="宋体"/>
                <w:sz w:val="24"/>
                <w:szCs w:val="24"/>
                <w:highlight w:val="none"/>
              </w:rPr>
              <w:t>：一是中方教师通过词汇解释和术语补充辅助理解，并结合国内实践案例补充说明；二是定期收集学生反馈，与爱方团队合作设计符合中国市场背景的新案例，提升理论与实践结合效果。</w:t>
            </w:r>
          </w:p>
          <w:p w14:paraId="10C7A7B7">
            <w:pPr>
              <w:widowControl/>
              <w:spacing w:after="120" w:afterLines="50"/>
              <w:rPr>
                <w:rFonts w:ascii="Times New Roman" w:hAnsi="Times New Roman" w:eastAsia="宋体" w:cs="Times New Roman"/>
                <w:sz w:val="24"/>
                <w:szCs w:val="24"/>
              </w:rPr>
            </w:pPr>
          </w:p>
        </w:tc>
      </w:tr>
      <w:tr w14:paraId="6F79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9267" w:type="dxa"/>
            <w:noWrap w:val="0"/>
            <w:vAlign w:val="top"/>
          </w:tcPr>
          <w:p w14:paraId="2FE9B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（4）疫情期间，在线课程教学运行管理机制和评价机制（包括课程建设、质量审查、运行保障、效果测评等）：</w:t>
            </w:r>
          </w:p>
          <w:p w14:paraId="21F1CE9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疫情期间，项目制定</w:t>
            </w:r>
            <w:r>
              <w:rPr>
                <w:rFonts w:hint="eastAsia" w:ascii="宋体" w:hAnsi="宋体" w:cs="宋体"/>
                <w:sz w:val="24"/>
                <w:szCs w:val="24"/>
                <w:highlight w:val="none"/>
                <w:lang w:val="en-US" w:eastAsia="zh-CN"/>
              </w:rPr>
              <w:t>了</w:t>
            </w:r>
            <w:r>
              <w:rPr>
                <w:rFonts w:hint="default" w:ascii="宋体" w:hAnsi="宋体" w:eastAsia="宋体" w:cs="宋体"/>
                <w:sz w:val="24"/>
                <w:szCs w:val="24"/>
                <w:highlight w:val="none"/>
              </w:rPr>
              <w:t>科学高效的在线教学运行管理与评价机制，涵盖课程建设、质量审查、运行保障和效果测评</w:t>
            </w:r>
            <w:r>
              <w:rPr>
                <w:rFonts w:hint="eastAsia" w:ascii="宋体" w:hAnsi="宋体" w:cs="宋体"/>
                <w:sz w:val="24"/>
                <w:szCs w:val="24"/>
                <w:highlight w:val="none"/>
                <w:lang w:val="en-US" w:eastAsia="zh-CN"/>
              </w:rPr>
              <w:t>等多个方面</w:t>
            </w:r>
            <w:r>
              <w:rPr>
                <w:rFonts w:hint="default" w:ascii="宋体" w:hAnsi="宋体" w:eastAsia="宋体" w:cs="宋体"/>
                <w:sz w:val="24"/>
                <w:szCs w:val="24"/>
                <w:highlight w:val="none"/>
              </w:rPr>
              <w:t>，确保</w:t>
            </w:r>
            <w:r>
              <w:rPr>
                <w:rFonts w:hint="eastAsia" w:ascii="宋体" w:hAnsi="宋体" w:cs="宋体"/>
                <w:sz w:val="24"/>
                <w:szCs w:val="24"/>
                <w:highlight w:val="none"/>
                <w:lang w:val="en-US" w:eastAsia="zh-CN"/>
              </w:rPr>
              <w:t>了</w:t>
            </w:r>
            <w:r>
              <w:rPr>
                <w:rFonts w:hint="default" w:ascii="宋体" w:hAnsi="宋体" w:eastAsia="宋体" w:cs="宋体"/>
                <w:sz w:val="24"/>
                <w:szCs w:val="24"/>
                <w:highlight w:val="none"/>
              </w:rPr>
              <w:t>线上线下教学</w:t>
            </w:r>
            <w:r>
              <w:rPr>
                <w:rFonts w:hint="eastAsia" w:ascii="宋体" w:hAnsi="宋体" w:cs="宋体"/>
                <w:sz w:val="24"/>
                <w:szCs w:val="24"/>
                <w:highlight w:val="none"/>
                <w:lang w:val="en-US" w:eastAsia="zh-CN"/>
              </w:rPr>
              <w:t>的</w:t>
            </w:r>
            <w:r>
              <w:rPr>
                <w:rFonts w:hint="default" w:ascii="宋体" w:hAnsi="宋体" w:eastAsia="宋体" w:cs="宋体"/>
                <w:sz w:val="24"/>
                <w:szCs w:val="24"/>
                <w:highlight w:val="none"/>
              </w:rPr>
              <w:t>同质同效。</w:t>
            </w:r>
          </w:p>
          <w:p w14:paraId="4521B1F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课程建设与双负责人制度：</w:t>
            </w:r>
            <w:r>
              <w:rPr>
                <w:rFonts w:hint="default" w:ascii="宋体" w:hAnsi="宋体" w:eastAsia="宋体" w:cs="宋体"/>
                <w:sz w:val="24"/>
                <w:szCs w:val="24"/>
                <w:highlight w:val="none"/>
              </w:rPr>
              <w:t>建立中外教师双负责人制度。外方教师担任课程内容负责人，负责课程体系构建与内容设计；中方教师担任课程运行负责人，负责教学保障、学生管理与支持，包括协助制定教学计划、组织在线学习、收集反馈等。</w:t>
            </w:r>
          </w:p>
          <w:p w14:paraId="3C17C4B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教学质量审查与管理</w:t>
            </w:r>
            <w:r>
              <w:rPr>
                <w:rFonts w:hint="default" w:ascii="宋体" w:hAnsi="宋体" w:eastAsia="宋体" w:cs="宋体"/>
                <w:sz w:val="24"/>
                <w:szCs w:val="24"/>
                <w:highlight w:val="none"/>
              </w:rPr>
              <w:t>：在线教学质量审查纳入日常教学管理体系，坚持线上线下同管理、同要求。一是外方课程内容提前提交，中方教师配合审核课程大纲、</w:t>
            </w:r>
            <w:r>
              <w:rPr>
                <w:rFonts w:hint="eastAsia" w:ascii="宋体" w:hAnsi="宋体" w:cs="宋体"/>
                <w:sz w:val="24"/>
                <w:szCs w:val="24"/>
                <w:highlight w:val="none"/>
                <w:lang w:val="en-US" w:eastAsia="zh-CN"/>
              </w:rPr>
              <w:t>教学</w:t>
            </w:r>
            <w:r>
              <w:rPr>
                <w:rFonts w:hint="default" w:ascii="宋体" w:hAnsi="宋体" w:eastAsia="宋体" w:cs="宋体"/>
                <w:sz w:val="24"/>
                <w:szCs w:val="24"/>
                <w:highlight w:val="none"/>
              </w:rPr>
              <w:t>目标和</w:t>
            </w:r>
            <w:r>
              <w:rPr>
                <w:rFonts w:hint="eastAsia" w:ascii="宋体" w:hAnsi="宋体" w:cs="宋体"/>
                <w:sz w:val="24"/>
                <w:szCs w:val="24"/>
                <w:highlight w:val="none"/>
                <w:lang w:val="en-US" w:eastAsia="zh-CN"/>
              </w:rPr>
              <w:t>教学</w:t>
            </w:r>
            <w:r>
              <w:rPr>
                <w:rFonts w:hint="default" w:ascii="宋体" w:hAnsi="宋体" w:eastAsia="宋体" w:cs="宋体"/>
                <w:sz w:val="24"/>
                <w:szCs w:val="24"/>
                <w:highlight w:val="none"/>
              </w:rPr>
              <w:t>资源；二是教务处定期检查在线课程时间安排和教学计划；三是中方教师跟踪学生参与度，记录考勤、互动及作业完成情况，为质量改进提供数据支持。</w:t>
            </w:r>
          </w:p>
          <w:p w14:paraId="0D11612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在线教学运行保障：</w:t>
            </w:r>
            <w:r>
              <w:rPr>
                <w:rFonts w:hint="default" w:ascii="宋体" w:hAnsi="宋体" w:eastAsia="宋体" w:cs="宋体"/>
                <w:sz w:val="24"/>
                <w:szCs w:val="24"/>
                <w:highlight w:val="none"/>
              </w:rPr>
              <w:t>学校为外教提供稳定网络环境和教学平台，中方教师作为助教提供辅助支持，如整理课堂笔记、汇总问题</w:t>
            </w:r>
            <w:r>
              <w:rPr>
                <w:rFonts w:hint="eastAsia" w:ascii="宋体" w:hAnsi="宋体" w:cs="宋体"/>
                <w:sz w:val="24"/>
                <w:szCs w:val="24"/>
                <w:highlight w:val="none"/>
                <w:lang w:val="en-US" w:eastAsia="zh-CN"/>
              </w:rPr>
              <w:t>并反馈</w:t>
            </w:r>
            <w:r>
              <w:rPr>
                <w:rFonts w:hint="default" w:ascii="宋体" w:hAnsi="宋体" w:eastAsia="宋体" w:cs="宋体"/>
                <w:sz w:val="24"/>
                <w:szCs w:val="24"/>
                <w:highlight w:val="none"/>
              </w:rPr>
              <w:t>。学校组织在线教学平台操作培训，确保教师熟练掌握直播授课、资源上传、作业布置等功能。</w:t>
            </w:r>
          </w:p>
          <w:p w14:paraId="6E97371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宋体" w:cs="Times New Roman"/>
                <w:sz w:val="24"/>
                <w:szCs w:val="24"/>
              </w:rPr>
            </w:pPr>
            <w:r>
              <w:rPr>
                <w:rFonts w:hint="default" w:ascii="宋体" w:hAnsi="宋体" w:eastAsia="宋体" w:cs="宋体"/>
                <w:b/>
                <w:bCs/>
                <w:sz w:val="24"/>
                <w:szCs w:val="24"/>
                <w:highlight w:val="none"/>
              </w:rPr>
              <w:t>效果测评</w:t>
            </w:r>
            <w:r>
              <w:rPr>
                <w:rFonts w:hint="default" w:ascii="宋体" w:hAnsi="宋体" w:eastAsia="宋体" w:cs="宋体"/>
                <w:sz w:val="24"/>
                <w:szCs w:val="24"/>
                <w:highlight w:val="none"/>
              </w:rPr>
              <w:t>：制定标准化线上教学评估指标，包括出勤率、课程完成率、学习成果及课堂互动等。通过问卷调查、学生座谈会收集反馈，内容涵盖教学内容、秩序、资源和答疑效率。调研显示，学生对线上教学满意度较高，尤其对教学秩序和外方教师提供的学习资源与答疑给予高度认可。</w:t>
            </w:r>
            <w:r>
              <w:rPr>
                <w:rFonts w:hint="eastAsia" w:ascii="Times New Roman" w:hAnsi="Times New Roman" w:cs="Times New Roman"/>
                <w:sz w:val="24"/>
                <w:szCs w:val="24"/>
                <w:lang w:val="en-US" w:eastAsia="zh-CN"/>
              </w:rPr>
              <w:t xml:space="preserve">  </w:t>
            </w:r>
          </w:p>
        </w:tc>
      </w:tr>
      <w:tr w14:paraId="7D1D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noWrap w:val="0"/>
            <w:vAlign w:val="top"/>
          </w:tcPr>
          <w:p w14:paraId="566B4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（5）对不能按照计划完成学业的学生建立分流机制并制定相应培养方案情况（</w:t>
            </w:r>
            <w:r>
              <w:rPr>
                <w:rFonts w:hint="eastAsia" w:ascii="宋体" w:hAnsi="宋体" w:eastAsia="宋体" w:cs="宋体"/>
                <w:sz w:val="24"/>
                <w:szCs w:val="24"/>
                <w:highlight w:val="none"/>
              </w:rPr>
              <w:t>选填</w:t>
            </w:r>
            <w:r>
              <w:rPr>
                <w:rFonts w:hint="default" w:ascii="宋体" w:hAnsi="宋体" w:eastAsia="宋体" w:cs="宋体"/>
                <w:sz w:val="24"/>
                <w:szCs w:val="24"/>
                <w:highlight w:val="none"/>
              </w:rPr>
              <w:t>）：</w:t>
            </w:r>
          </w:p>
          <w:p w14:paraId="29A6DEF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项目为学业进度滞后的学生建立了分流机制及相应培养方案，确保每位学生均有完成学业的机会。</w:t>
            </w:r>
          </w:p>
          <w:p w14:paraId="50261B2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专业导师制度</w:t>
            </w:r>
            <w:r>
              <w:rPr>
                <w:rFonts w:hint="default" w:ascii="宋体" w:hAnsi="宋体" w:eastAsia="宋体" w:cs="宋体"/>
                <w:sz w:val="24"/>
                <w:szCs w:val="24"/>
                <w:highlight w:val="none"/>
              </w:rPr>
              <w:t>：设置专业导师，由中方教师全程指导，帮助学生适应外方教学模式。导师通过定期辅导，提供个性化学习计划，确保学生跟上课程进度。</w:t>
            </w:r>
          </w:p>
          <w:p w14:paraId="643ED91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highlight w:val="none"/>
              </w:rPr>
            </w:pPr>
            <w:r>
              <w:rPr>
                <w:rFonts w:hint="default" w:ascii="宋体" w:hAnsi="宋体" w:eastAsia="宋体" w:cs="宋体"/>
                <w:b/>
                <w:bCs/>
                <w:sz w:val="24"/>
                <w:szCs w:val="24"/>
                <w:highlight w:val="none"/>
              </w:rPr>
              <w:t>分流机制：</w:t>
            </w:r>
            <w:r>
              <w:rPr>
                <w:rFonts w:hint="default" w:ascii="宋体" w:hAnsi="宋体" w:eastAsia="宋体" w:cs="宋体"/>
                <w:sz w:val="24"/>
                <w:szCs w:val="24"/>
                <w:highlight w:val="none"/>
              </w:rPr>
              <w:t>对确实存在学业困难的学生，允许其申请补修课程。经学校审核批准后，学生可修读经过中外双方课程对接认定的中方课程获得学分。分流机制充分考虑课程匹配性，确保补修课程学术水平与外方课程相当。</w:t>
            </w:r>
          </w:p>
          <w:p w14:paraId="3AC1433D">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Times New Roman" w:hAnsi="Times New Roman" w:eastAsia="宋体" w:cs="Times New Roman"/>
                <w:sz w:val="24"/>
                <w:szCs w:val="24"/>
              </w:rPr>
            </w:pPr>
            <w:r>
              <w:rPr>
                <w:rFonts w:hint="default" w:ascii="宋体" w:hAnsi="宋体" w:eastAsia="宋体" w:cs="宋体"/>
                <w:b/>
                <w:bCs/>
                <w:sz w:val="24"/>
                <w:szCs w:val="24"/>
                <w:highlight w:val="none"/>
              </w:rPr>
              <w:t>成效与保障：</w:t>
            </w:r>
            <w:r>
              <w:rPr>
                <w:rFonts w:hint="default" w:ascii="宋体" w:hAnsi="宋体" w:eastAsia="宋体" w:cs="宋体"/>
                <w:sz w:val="24"/>
                <w:szCs w:val="24"/>
                <w:highlight w:val="none"/>
              </w:rPr>
              <w:t>该机制有效保障了学业困难学生的学习权益，避免了因学业压力或外方课程不适应导致的辍学。通过中外双方资源整合，提供学术支持和心理疏导，并定期追踪分流学生进展，及时调整培养方案，确保培养目标达成。</w:t>
            </w:r>
          </w:p>
          <w:p w14:paraId="2D7F294F">
            <w:pPr>
              <w:widowControl/>
              <w:spacing w:after="120" w:afterLines="50"/>
              <w:rPr>
                <w:rFonts w:ascii="Times New Roman" w:hAnsi="Times New Roman" w:eastAsia="宋体" w:cs="Times New Roman"/>
                <w:sz w:val="24"/>
                <w:szCs w:val="24"/>
              </w:rPr>
            </w:pPr>
          </w:p>
          <w:p w14:paraId="15B16AE9">
            <w:pPr>
              <w:widowControl/>
              <w:spacing w:after="120" w:afterLines="50"/>
              <w:rPr>
                <w:rFonts w:ascii="Times New Roman" w:hAnsi="Times New Roman" w:eastAsia="宋体" w:cs="Times New Roman"/>
                <w:sz w:val="24"/>
                <w:szCs w:val="24"/>
              </w:rPr>
            </w:pPr>
          </w:p>
        </w:tc>
      </w:tr>
      <w:tr w14:paraId="3881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7" w:type="dxa"/>
            <w:noWrap w:val="0"/>
            <w:vAlign w:val="top"/>
          </w:tcPr>
          <w:p w14:paraId="2AA9F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（6）外方选派教师对</w:t>
            </w:r>
            <w:r>
              <w:rPr>
                <w:rFonts w:hint="eastAsia" w:ascii="宋体" w:hAnsi="宋体" w:eastAsia="宋体" w:cs="宋体"/>
                <w:sz w:val="24"/>
                <w:szCs w:val="24"/>
                <w:highlight w:val="none"/>
                <w:lang w:eastAsia="zh-CN"/>
              </w:rPr>
              <w:t>学</w:t>
            </w:r>
            <w:r>
              <w:rPr>
                <w:rFonts w:hint="default" w:ascii="宋体" w:hAnsi="宋体" w:eastAsia="宋体" w:cs="宋体"/>
                <w:sz w:val="24"/>
                <w:szCs w:val="24"/>
                <w:highlight w:val="none"/>
              </w:rPr>
              <w:t>生的</w:t>
            </w:r>
            <w:r>
              <w:rPr>
                <w:rFonts w:hint="eastAsia" w:ascii="宋体" w:hAnsi="宋体" w:eastAsia="宋体" w:cs="宋体"/>
                <w:sz w:val="24"/>
                <w:szCs w:val="24"/>
                <w:highlight w:val="none"/>
                <w:lang w:eastAsia="zh-CN"/>
              </w:rPr>
              <w:t>学业</w:t>
            </w:r>
            <w:r>
              <w:rPr>
                <w:rFonts w:hint="default" w:ascii="宋体" w:hAnsi="宋体" w:eastAsia="宋体" w:cs="宋体"/>
                <w:sz w:val="24"/>
                <w:szCs w:val="24"/>
                <w:highlight w:val="none"/>
              </w:rPr>
              <w:t>指导情况（</w:t>
            </w:r>
            <w:r>
              <w:rPr>
                <w:rFonts w:hint="eastAsia" w:ascii="宋体" w:hAnsi="宋体" w:eastAsia="宋体" w:cs="宋体"/>
                <w:sz w:val="24"/>
                <w:szCs w:val="24"/>
                <w:highlight w:val="none"/>
              </w:rPr>
              <w:t>选填</w:t>
            </w:r>
            <w:r>
              <w:rPr>
                <w:rFonts w:hint="default" w:ascii="宋体" w:hAnsi="宋体" w:eastAsia="宋体" w:cs="宋体"/>
                <w:sz w:val="24"/>
                <w:szCs w:val="24"/>
                <w:highlight w:val="none"/>
              </w:rPr>
              <w:t>）：</w:t>
            </w:r>
          </w:p>
          <w:p w14:paraId="2A86C5E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rPr>
              <w:t>项目充分发挥外方教师专业优势，通过学术讲座、学术沙龙和个性化辅导等方式系统开展学业指导。2017年，依托本项目成立的国别区域研究中心——爱尔兰研究中心获教育部国际司备案。外方教师积极参与学生学术能力培养，围绕文献检索、论文写作、研究问题设计、学术规范及国际学术动态等开展指导，帮助学生掌握基本研究方法和学术表达技巧。同时，外方教师结合国际化背景和专业经验，引入全球金融行业发展趋势与案例研究，</w:t>
            </w:r>
            <w:r>
              <w:rPr>
                <w:rFonts w:hint="eastAsia" w:ascii="宋体" w:hAnsi="宋体" w:cs="宋体"/>
                <w:sz w:val="24"/>
                <w:szCs w:val="24"/>
                <w:highlight w:val="none"/>
                <w:lang w:eastAsia="zh-CN"/>
              </w:rPr>
              <w:t>拓宽</w:t>
            </w:r>
            <w:r>
              <w:rPr>
                <w:rFonts w:hint="default" w:ascii="宋体" w:hAnsi="宋体" w:eastAsia="宋体" w:cs="宋体"/>
                <w:sz w:val="24"/>
                <w:szCs w:val="24"/>
                <w:highlight w:val="none"/>
              </w:rPr>
              <w:t>学生国际视野，提升其学术研究能力、跨文化交流能力和职业竞争力</w:t>
            </w:r>
            <w:r>
              <w:rPr>
                <w:rFonts w:hint="eastAsia" w:ascii="宋体" w:hAnsi="宋体" w:cs="宋体"/>
                <w:sz w:val="24"/>
                <w:szCs w:val="24"/>
                <w:highlight w:val="none"/>
                <w:lang w:eastAsia="zh-CN"/>
              </w:rPr>
              <w:t>。</w:t>
            </w:r>
          </w:p>
          <w:p w14:paraId="7ED2991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p>
          <w:p w14:paraId="0CE599AB">
            <w:pPr>
              <w:widowControl/>
              <w:spacing w:after="120" w:afterLines="50"/>
              <w:rPr>
                <w:rFonts w:ascii="Times New Roman" w:hAnsi="Times New Roman" w:eastAsia="宋体" w:cs="Times New Roman"/>
                <w:color w:val="FF0000"/>
                <w:sz w:val="24"/>
                <w:szCs w:val="24"/>
              </w:rPr>
            </w:pPr>
          </w:p>
          <w:p w14:paraId="7B1BC17B">
            <w:pPr>
              <w:widowControl/>
              <w:spacing w:after="120" w:afterLines="50"/>
              <w:rPr>
                <w:rFonts w:ascii="Times New Roman" w:hAnsi="Times New Roman" w:eastAsia="宋体" w:cs="Times New Roman"/>
                <w:color w:val="FF0000"/>
                <w:sz w:val="24"/>
                <w:szCs w:val="24"/>
              </w:rPr>
            </w:pPr>
          </w:p>
          <w:p w14:paraId="237DFCD1">
            <w:pPr>
              <w:widowControl/>
              <w:spacing w:after="120" w:afterLines="50"/>
              <w:rPr>
                <w:rFonts w:ascii="Times New Roman" w:hAnsi="Times New Roman" w:eastAsia="宋体" w:cs="Times New Roman"/>
                <w:color w:val="FF0000"/>
                <w:sz w:val="24"/>
                <w:szCs w:val="24"/>
              </w:rPr>
            </w:pPr>
          </w:p>
          <w:p w14:paraId="77EE8125">
            <w:pPr>
              <w:widowControl/>
              <w:spacing w:after="120" w:afterLines="50"/>
              <w:rPr>
                <w:rFonts w:ascii="Times New Roman" w:hAnsi="Times New Roman" w:eastAsia="宋体" w:cs="Times New Roman"/>
                <w:color w:val="FF0000"/>
                <w:sz w:val="24"/>
                <w:szCs w:val="24"/>
              </w:rPr>
            </w:pPr>
          </w:p>
          <w:p w14:paraId="2AD54E20">
            <w:pPr>
              <w:widowControl/>
              <w:spacing w:after="120" w:afterLines="50"/>
              <w:rPr>
                <w:rFonts w:ascii="Times New Roman" w:hAnsi="Times New Roman" w:eastAsia="宋体" w:cs="Times New Roman"/>
                <w:color w:val="FF0000"/>
                <w:sz w:val="24"/>
                <w:szCs w:val="24"/>
              </w:rPr>
            </w:pPr>
          </w:p>
          <w:p w14:paraId="5FEFBE4F">
            <w:pPr>
              <w:widowControl/>
              <w:spacing w:after="120" w:afterLines="50"/>
              <w:rPr>
                <w:rFonts w:ascii="Times New Roman" w:hAnsi="Times New Roman" w:eastAsia="宋体" w:cs="Times New Roman"/>
                <w:color w:val="FF0000"/>
                <w:sz w:val="24"/>
                <w:szCs w:val="24"/>
              </w:rPr>
            </w:pPr>
          </w:p>
          <w:p w14:paraId="61A37246">
            <w:pPr>
              <w:widowControl/>
              <w:spacing w:after="120" w:afterLines="50"/>
              <w:rPr>
                <w:rFonts w:ascii="Times New Roman" w:hAnsi="Times New Roman" w:eastAsia="宋体" w:cs="Times New Roman"/>
                <w:color w:val="FF0000"/>
                <w:sz w:val="24"/>
                <w:szCs w:val="24"/>
              </w:rPr>
            </w:pPr>
          </w:p>
          <w:p w14:paraId="56985FDE">
            <w:pPr>
              <w:widowControl/>
              <w:spacing w:after="120" w:afterLines="50"/>
              <w:rPr>
                <w:rFonts w:ascii="Times New Roman" w:hAnsi="Times New Roman" w:eastAsia="宋体" w:cs="Times New Roman"/>
                <w:sz w:val="24"/>
                <w:szCs w:val="24"/>
              </w:rPr>
            </w:pPr>
          </w:p>
        </w:tc>
      </w:tr>
    </w:tbl>
    <w:p w14:paraId="644F2127">
      <w:pPr>
        <w:snapToGrid w:val="0"/>
        <w:spacing w:line="360" w:lineRule="auto"/>
        <w:rPr>
          <w:rFonts w:hint="eastAsia" w:ascii="宋体" w:hAnsi="宋体" w:eastAsia="宋体" w:cs="宋体"/>
          <w:b/>
          <w:bCs w:val="0"/>
          <w:sz w:val="28"/>
          <w:szCs w:val="28"/>
        </w:rPr>
      </w:pPr>
    </w:p>
    <w:p w14:paraId="4F2AB5D2">
      <w:pPr>
        <w:snapToGrid w:val="0"/>
        <w:spacing w:line="360" w:lineRule="auto"/>
        <w:rPr>
          <w:rFonts w:hint="eastAsia" w:ascii="宋体" w:hAnsi="宋体" w:eastAsia="宋体" w:cs="宋体"/>
          <w:b/>
          <w:bCs w:val="0"/>
          <w:sz w:val="28"/>
          <w:szCs w:val="28"/>
        </w:rPr>
      </w:pPr>
    </w:p>
    <w:p w14:paraId="3F19E6E4">
      <w:pPr>
        <w:snapToGrid w:val="0"/>
        <w:spacing w:line="360" w:lineRule="auto"/>
        <w:rPr>
          <w:rFonts w:hint="eastAsia" w:ascii="宋体" w:hAnsi="宋体" w:eastAsia="宋体" w:cs="宋体"/>
          <w:b/>
          <w:bCs w:val="0"/>
          <w:sz w:val="28"/>
          <w:szCs w:val="28"/>
        </w:rPr>
      </w:pPr>
    </w:p>
    <w:p w14:paraId="1CD0B00B">
      <w:pPr>
        <w:snapToGrid w:val="0"/>
        <w:spacing w:line="360" w:lineRule="auto"/>
        <w:rPr>
          <w:rFonts w:hint="eastAsia" w:ascii="宋体" w:hAnsi="宋体" w:eastAsia="宋体" w:cs="宋体"/>
          <w:b/>
          <w:bCs w:val="0"/>
          <w:sz w:val="28"/>
          <w:szCs w:val="28"/>
        </w:rPr>
      </w:pPr>
    </w:p>
    <w:p w14:paraId="76687589">
      <w:pPr>
        <w:snapToGrid w:val="0"/>
        <w:spacing w:line="360" w:lineRule="auto"/>
        <w:rPr>
          <w:rFonts w:hint="eastAsia" w:ascii="宋体" w:hAnsi="宋体" w:eastAsia="宋体" w:cs="宋体"/>
          <w:b/>
          <w:bCs w:val="0"/>
          <w:sz w:val="28"/>
          <w:szCs w:val="28"/>
        </w:rPr>
      </w:pPr>
    </w:p>
    <w:p w14:paraId="29BBB0EB">
      <w:pPr>
        <w:snapToGrid w:val="0"/>
        <w:spacing w:line="360" w:lineRule="auto"/>
        <w:rPr>
          <w:rFonts w:hint="eastAsia" w:ascii="宋体" w:hAnsi="宋体" w:eastAsia="宋体" w:cs="宋体"/>
          <w:b/>
          <w:bCs w:val="0"/>
          <w:sz w:val="28"/>
          <w:szCs w:val="28"/>
        </w:rPr>
      </w:pPr>
    </w:p>
    <w:p w14:paraId="01D48255">
      <w:pPr>
        <w:snapToGrid w:val="0"/>
        <w:spacing w:line="360" w:lineRule="auto"/>
        <w:rPr>
          <w:rFonts w:hint="eastAsia" w:ascii="宋体" w:hAnsi="宋体" w:eastAsia="宋体" w:cs="宋体"/>
          <w:b/>
          <w:bCs w:val="0"/>
          <w:sz w:val="28"/>
          <w:szCs w:val="28"/>
        </w:rPr>
      </w:pPr>
    </w:p>
    <w:p w14:paraId="6C3570CE">
      <w:pPr>
        <w:snapToGrid w:val="0"/>
        <w:spacing w:line="360" w:lineRule="auto"/>
        <w:rPr>
          <w:rFonts w:hint="eastAsia" w:ascii="宋体" w:hAnsi="宋体" w:eastAsia="宋体" w:cs="宋体"/>
          <w:b/>
          <w:bCs w:val="0"/>
          <w:sz w:val="28"/>
          <w:szCs w:val="28"/>
        </w:rPr>
      </w:pPr>
    </w:p>
    <w:p w14:paraId="14B0EAA7">
      <w:pPr>
        <w:snapToGrid w:val="0"/>
        <w:spacing w:line="360" w:lineRule="auto"/>
        <w:rPr>
          <w:rFonts w:hint="eastAsia" w:ascii="宋体" w:hAnsi="宋体" w:eastAsia="宋体" w:cs="宋体"/>
          <w:b/>
          <w:bCs w:val="0"/>
          <w:sz w:val="28"/>
          <w:szCs w:val="28"/>
        </w:rPr>
      </w:pPr>
    </w:p>
    <w:p w14:paraId="5648DD75">
      <w:pPr>
        <w:snapToGrid w:val="0"/>
        <w:spacing w:line="360" w:lineRule="auto"/>
        <w:rPr>
          <w:rFonts w:hint="eastAsia" w:ascii="宋体" w:hAnsi="宋体" w:eastAsia="宋体" w:cs="宋体"/>
          <w:b/>
          <w:bCs w:val="0"/>
          <w:sz w:val="28"/>
          <w:szCs w:val="28"/>
        </w:rPr>
      </w:pPr>
    </w:p>
    <w:p w14:paraId="1AF15BAD">
      <w:pPr>
        <w:snapToGrid w:val="0"/>
        <w:spacing w:line="360" w:lineRule="auto"/>
        <w:rPr>
          <w:rFonts w:hint="eastAsia" w:ascii="宋体" w:hAnsi="宋体" w:eastAsia="宋体" w:cs="宋体"/>
          <w:b/>
          <w:bCs w:val="0"/>
          <w:sz w:val="28"/>
          <w:szCs w:val="28"/>
        </w:rPr>
      </w:pPr>
    </w:p>
    <w:p w14:paraId="36EC903D">
      <w:pPr>
        <w:snapToGrid w:val="0"/>
        <w:spacing w:line="360" w:lineRule="auto"/>
        <w:rPr>
          <w:rFonts w:hint="eastAsia" w:ascii="宋体" w:hAnsi="宋体" w:eastAsia="宋体" w:cs="宋体"/>
          <w:b/>
          <w:bCs w:val="0"/>
          <w:sz w:val="28"/>
          <w:szCs w:val="28"/>
        </w:rPr>
      </w:pPr>
    </w:p>
    <w:p w14:paraId="1B9DF7DD">
      <w:pPr>
        <w:snapToGrid w:val="0"/>
        <w:spacing w:line="360" w:lineRule="auto"/>
        <w:rPr>
          <w:rFonts w:hint="eastAsia" w:ascii="宋体" w:hAnsi="宋体" w:eastAsia="宋体" w:cs="宋体"/>
          <w:b/>
          <w:bCs w:val="0"/>
          <w:sz w:val="28"/>
          <w:szCs w:val="28"/>
        </w:rPr>
      </w:pPr>
    </w:p>
    <w:p w14:paraId="46FC8B8E">
      <w:pPr>
        <w:snapToGrid w:val="0"/>
        <w:spacing w:line="360" w:lineRule="auto"/>
        <w:rPr>
          <w:rFonts w:hint="eastAsia" w:ascii="宋体" w:hAnsi="宋体" w:eastAsia="宋体" w:cs="宋体"/>
          <w:b/>
          <w:bCs w:val="0"/>
          <w:sz w:val="28"/>
          <w:szCs w:val="28"/>
        </w:rPr>
      </w:pPr>
      <w:r>
        <w:rPr>
          <w:rFonts w:hint="eastAsia" w:ascii="宋体" w:hAnsi="宋体" w:eastAsia="宋体" w:cs="宋体"/>
          <w:b/>
          <w:bCs w:val="0"/>
          <w:sz w:val="28"/>
          <w:szCs w:val="28"/>
        </w:rPr>
        <w:t>六、</w:t>
      </w:r>
      <w:r>
        <w:rPr>
          <w:rFonts w:hint="eastAsia" w:ascii="宋体" w:hAnsi="宋体" w:eastAsia="宋体" w:cs="宋体"/>
          <w:b/>
          <w:bCs w:val="0"/>
          <w:sz w:val="28"/>
          <w:szCs w:val="28"/>
          <w:lang w:eastAsia="zh-CN"/>
        </w:rPr>
        <w:t>项目</w:t>
      </w:r>
      <w:r>
        <w:rPr>
          <w:rFonts w:hint="eastAsia" w:ascii="宋体" w:hAnsi="宋体" w:eastAsia="宋体" w:cs="宋体"/>
          <w:b/>
          <w:bCs w:val="0"/>
          <w:sz w:val="28"/>
          <w:szCs w:val="28"/>
        </w:rPr>
        <w:t>自评结果</w:t>
      </w:r>
    </w:p>
    <w:p w14:paraId="4CDD8FF1">
      <w:pPr>
        <w:spacing w:line="360" w:lineRule="auto"/>
        <w:jc w:val="center"/>
        <w:rPr>
          <w:rFonts w:ascii="Times New Roman" w:hAnsi="Times New Roman" w:eastAsia="宋体" w:cs="Times New Roman"/>
          <w:b w:val="0"/>
          <w:bCs/>
        </w:rPr>
      </w:pPr>
      <w:r>
        <w:rPr>
          <w:rFonts w:ascii="Times New Roman" w:hAnsi="Times New Roman" w:eastAsia="方正小标宋简体" w:cs="Times New Roman"/>
          <w:b w:val="0"/>
          <w:bCs/>
          <w:spacing w:val="20"/>
          <w:sz w:val="32"/>
          <w:szCs w:val="28"/>
        </w:rPr>
        <w:t>中外合作办学</w:t>
      </w:r>
      <w:r>
        <w:rPr>
          <w:rFonts w:hint="eastAsia" w:ascii="Times New Roman" w:hAnsi="Times New Roman" w:eastAsia="方正小标宋简体" w:cs="Times New Roman"/>
          <w:b w:val="0"/>
          <w:bCs/>
          <w:spacing w:val="20"/>
          <w:sz w:val="32"/>
          <w:szCs w:val="28"/>
          <w:lang w:eastAsia="zh-CN"/>
        </w:rPr>
        <w:t>项目</w:t>
      </w:r>
      <w:r>
        <w:rPr>
          <w:rFonts w:ascii="Times New Roman" w:hAnsi="Times New Roman" w:eastAsia="方正小标宋简体" w:cs="Times New Roman"/>
          <w:b w:val="0"/>
          <w:bCs/>
          <w:spacing w:val="20"/>
          <w:sz w:val="32"/>
          <w:szCs w:val="28"/>
        </w:rPr>
        <w:t>自评结果</w:t>
      </w:r>
    </w:p>
    <w:tbl>
      <w:tblPr>
        <w:tblStyle w:val="5"/>
        <w:tblW w:w="53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664"/>
        <w:gridCol w:w="858"/>
        <w:gridCol w:w="2889"/>
        <w:gridCol w:w="1497"/>
        <w:gridCol w:w="1578"/>
      </w:tblGrid>
      <w:tr w14:paraId="2EF4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1404" w:type="pct"/>
            <w:tcBorders>
              <w:top w:val="single" w:color="auto" w:sz="4" w:space="0"/>
              <w:left w:val="single" w:color="auto" w:sz="4" w:space="0"/>
              <w:bottom w:val="single" w:color="auto" w:sz="4" w:space="0"/>
              <w:right w:val="single" w:color="auto" w:sz="4" w:space="0"/>
            </w:tcBorders>
            <w:noWrap w:val="0"/>
            <w:vAlign w:val="center"/>
          </w:tcPr>
          <w:p w14:paraId="54AF05CE">
            <w:pPr>
              <w:widowControl/>
              <w:rPr>
                <w:rFonts w:hint="eastAsia" w:ascii="宋体" w:hAnsi="宋体" w:eastAsia="宋体" w:cs="宋体"/>
                <w:b/>
                <w:bCs/>
                <w:color w:val="000000"/>
                <w:kern w:val="0"/>
                <w:sz w:val="24"/>
              </w:rPr>
            </w:pPr>
            <w:r>
              <w:rPr>
                <w:rFonts w:hint="eastAsia" w:ascii="宋体" w:hAnsi="宋体" w:eastAsia="宋体" w:cs="宋体"/>
                <w:b/>
                <w:bCs/>
                <w:color w:val="000000"/>
                <w:kern w:val="0"/>
                <w:sz w:val="24"/>
              </w:rPr>
              <w:t>一、总体评价</w:t>
            </w:r>
          </w:p>
        </w:tc>
        <w:tc>
          <w:tcPr>
            <w:tcW w:w="3595" w:type="pct"/>
            <w:gridSpan w:val="4"/>
            <w:tcBorders>
              <w:top w:val="single" w:color="auto" w:sz="4" w:space="0"/>
              <w:left w:val="single" w:color="auto" w:sz="4" w:space="0"/>
              <w:bottom w:val="single" w:color="auto" w:sz="4" w:space="0"/>
              <w:right w:val="single" w:color="auto" w:sz="4" w:space="0"/>
            </w:tcBorders>
            <w:noWrap w:val="0"/>
            <w:vAlign w:val="center"/>
          </w:tcPr>
          <w:p w14:paraId="5AA096E2">
            <w:pPr>
              <w:widowControl/>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fldChar w:fldCharType="begin"/>
            </w:r>
            <w:r>
              <w:rPr>
                <w:rFonts w:hint="eastAsia" w:ascii="宋体" w:hAnsi="宋体" w:eastAsia="宋体" w:cs="宋体"/>
                <w:b/>
                <w:bCs/>
                <w:color w:val="000000"/>
                <w:kern w:val="0"/>
                <w:sz w:val="24"/>
              </w:rPr>
              <w:instrText xml:space="preserve"> EQ \o\ac(</w:instrText>
            </w:r>
            <w:r>
              <w:rPr>
                <w:rFonts w:hint="eastAsia" w:ascii="宋体" w:hAnsi="宋体" w:eastAsia="宋体" w:cs="宋体"/>
                <w:b/>
                <w:bCs/>
                <w:color w:val="000000"/>
                <w:kern w:val="0"/>
                <w:position w:val="-4"/>
                <w:sz w:val="36"/>
                <w:szCs w:val="22"/>
                <w:lang w:val="en-US" w:eastAsia="zh-CN" w:bidi="ar-SA"/>
              </w:rPr>
              <w:instrText xml:space="preserve">○</w:instrText>
            </w:r>
            <w:r>
              <w:rPr>
                <w:rFonts w:hint="eastAsia" w:ascii="宋体" w:hAnsi="宋体" w:eastAsia="宋体" w:cs="宋体"/>
                <w:b/>
                <w:bCs/>
                <w:color w:val="000000"/>
                <w:kern w:val="0"/>
                <w:sz w:val="24"/>
              </w:rPr>
              <w:instrText xml:space="preserve">,√)</w:instrText>
            </w:r>
            <w:r>
              <w:rPr>
                <w:rFonts w:hint="eastAsia" w:ascii="宋体" w:hAnsi="宋体" w:eastAsia="宋体" w:cs="宋体"/>
                <w:b/>
                <w:bCs/>
                <w:color w:val="000000"/>
                <w:kern w:val="0"/>
                <w:sz w:val="24"/>
              </w:rPr>
              <w:fldChar w:fldCharType="end"/>
            </w:r>
            <w:r>
              <w:rPr>
                <w:rFonts w:hint="eastAsia" w:ascii="宋体" w:hAnsi="宋体" w:eastAsia="宋体" w:cs="宋体"/>
                <w:b/>
                <w:bCs/>
                <w:color w:val="000000"/>
                <w:kern w:val="0"/>
                <w:sz w:val="24"/>
              </w:rPr>
              <w:t>合格   ○不合格</w:t>
            </w:r>
          </w:p>
        </w:tc>
      </w:tr>
      <w:tr w14:paraId="6FB0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7FC1A67">
            <w:pPr>
              <w:widowControl/>
              <w:rPr>
                <w:rFonts w:hint="eastAsia" w:ascii="宋体" w:hAnsi="宋体" w:eastAsia="宋体" w:cs="宋体"/>
                <w:b/>
                <w:bCs/>
                <w:color w:val="000000"/>
                <w:kern w:val="0"/>
                <w:sz w:val="24"/>
              </w:rPr>
            </w:pPr>
            <w:r>
              <w:rPr>
                <w:rFonts w:hint="eastAsia" w:ascii="宋体" w:hAnsi="宋体" w:eastAsia="宋体" w:cs="宋体"/>
                <w:b/>
                <w:bCs/>
                <w:color w:val="000000"/>
                <w:kern w:val="0"/>
                <w:sz w:val="24"/>
              </w:rPr>
              <w:t>二、分项评价</w:t>
            </w:r>
          </w:p>
        </w:tc>
      </w:tr>
      <w:tr w14:paraId="5704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1404" w:type="pct"/>
            <w:vMerge w:val="restart"/>
            <w:tcBorders>
              <w:top w:val="single" w:color="auto" w:sz="4" w:space="0"/>
              <w:left w:val="single" w:color="auto" w:sz="4" w:space="0"/>
              <w:bottom w:val="single" w:color="auto" w:sz="4" w:space="0"/>
              <w:right w:val="single" w:color="auto" w:sz="4" w:space="0"/>
            </w:tcBorders>
            <w:noWrap w:val="0"/>
            <w:vAlign w:val="center"/>
          </w:tcPr>
          <w:p w14:paraId="6A563A8F">
            <w:pPr>
              <w:jc w:val="center"/>
              <w:rPr>
                <w:rFonts w:hint="eastAsia" w:ascii="宋体" w:hAnsi="宋体" w:eastAsia="宋体" w:cs="宋体"/>
                <w:b/>
                <w:bCs/>
                <w:kern w:val="0"/>
                <w:sz w:val="24"/>
              </w:rPr>
            </w:pPr>
            <w:r>
              <w:rPr>
                <w:rFonts w:hint="eastAsia" w:ascii="宋体" w:hAnsi="宋体" w:eastAsia="宋体" w:cs="宋体"/>
                <w:b/>
                <w:bCs/>
                <w:color w:val="000000"/>
                <w:kern w:val="0"/>
                <w:sz w:val="24"/>
              </w:rPr>
              <w:t>一级指标</w:t>
            </w:r>
          </w:p>
        </w:tc>
        <w:tc>
          <w:tcPr>
            <w:tcW w:w="1975" w:type="pct"/>
            <w:gridSpan w:val="2"/>
            <w:vMerge w:val="restart"/>
            <w:tcBorders>
              <w:top w:val="single" w:color="auto" w:sz="4" w:space="0"/>
              <w:left w:val="single" w:color="auto" w:sz="4" w:space="0"/>
              <w:bottom w:val="single" w:color="auto" w:sz="4" w:space="0"/>
              <w:right w:val="single" w:color="auto" w:sz="4" w:space="0"/>
            </w:tcBorders>
            <w:noWrap w:val="0"/>
            <w:vAlign w:val="center"/>
          </w:tcPr>
          <w:p w14:paraId="756D1FED">
            <w:pPr>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二级指标</w:t>
            </w:r>
          </w:p>
        </w:tc>
        <w:tc>
          <w:tcPr>
            <w:tcW w:w="1620" w:type="pct"/>
            <w:gridSpan w:val="2"/>
            <w:tcBorders>
              <w:top w:val="single" w:color="auto" w:sz="4" w:space="0"/>
              <w:left w:val="single" w:color="auto" w:sz="4" w:space="0"/>
              <w:bottom w:val="single" w:color="auto" w:sz="4" w:space="0"/>
              <w:right w:val="single" w:color="auto" w:sz="4" w:space="0"/>
            </w:tcBorders>
            <w:noWrap w:val="0"/>
            <w:vAlign w:val="center"/>
          </w:tcPr>
          <w:p w14:paraId="67DEAF77">
            <w:pPr>
              <w:widowControl/>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评价意见（划“√”）</w:t>
            </w:r>
          </w:p>
        </w:tc>
      </w:tr>
      <w:tr w14:paraId="415E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9"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54947047">
            <w:pPr>
              <w:jc w:val="center"/>
              <w:rPr>
                <w:rFonts w:hint="eastAsia" w:ascii="宋体" w:hAnsi="宋体" w:eastAsia="宋体" w:cs="宋体"/>
                <w:b/>
                <w:bCs/>
                <w:kern w:val="0"/>
                <w:sz w:val="24"/>
              </w:rPr>
            </w:pPr>
          </w:p>
        </w:tc>
        <w:tc>
          <w:tcPr>
            <w:tcW w:w="1975"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48893F27">
            <w:pPr>
              <w:jc w:val="center"/>
              <w:rPr>
                <w:rFonts w:hint="eastAsia" w:ascii="宋体" w:hAnsi="宋体" w:eastAsia="宋体" w:cs="宋体"/>
                <w:b/>
                <w:bCs/>
                <w:kern w:val="0"/>
                <w:sz w:val="24"/>
              </w:rPr>
            </w:pPr>
          </w:p>
        </w:tc>
        <w:tc>
          <w:tcPr>
            <w:tcW w:w="789" w:type="pct"/>
            <w:tcBorders>
              <w:top w:val="single" w:color="auto" w:sz="4" w:space="0"/>
              <w:left w:val="single" w:color="auto" w:sz="4" w:space="0"/>
              <w:bottom w:val="single" w:color="auto" w:sz="4" w:space="0"/>
              <w:right w:val="single" w:color="auto" w:sz="4" w:space="0"/>
            </w:tcBorders>
            <w:noWrap w:val="0"/>
            <w:vAlign w:val="center"/>
          </w:tcPr>
          <w:p w14:paraId="05165352">
            <w:pPr>
              <w:widowControl/>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合格</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3B4B7EC2">
            <w:pPr>
              <w:widowControl/>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不合格</w:t>
            </w:r>
          </w:p>
        </w:tc>
      </w:tr>
      <w:tr w14:paraId="7E53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bottom w:val="single" w:color="auto" w:sz="4" w:space="0"/>
              <w:right w:val="single" w:color="auto" w:sz="4" w:space="0"/>
            </w:tcBorders>
            <w:noWrap w:val="0"/>
            <w:vAlign w:val="center"/>
          </w:tcPr>
          <w:p w14:paraId="205A1ED6">
            <w:pPr>
              <w:jc w:val="center"/>
              <w:rPr>
                <w:rFonts w:hint="eastAsia" w:ascii="方正楷体_GBK" w:hAnsi="方正楷体_GBK" w:eastAsia="方正楷体_GBK" w:cs="方正楷体_GBK"/>
                <w:b w:val="0"/>
                <w:bCs w:val="0"/>
                <w:kern w:val="0"/>
                <w:szCs w:val="21"/>
              </w:rPr>
            </w:pPr>
            <w:r>
              <w:rPr>
                <w:rFonts w:hint="eastAsia" w:ascii="方正楷体_GBK" w:hAnsi="方正楷体_GBK" w:eastAsia="方正楷体_GBK" w:cs="方正楷体_GBK"/>
                <w:b w:val="0"/>
                <w:bCs w:val="0"/>
                <w:szCs w:val="21"/>
              </w:rPr>
              <w:t>1</w:t>
            </w:r>
            <w:r>
              <w:rPr>
                <w:rFonts w:hint="eastAsia" w:ascii="方正楷体_GBK" w:hAnsi="方正楷体_GBK" w:eastAsia="方正楷体_GBK" w:cs="方正楷体_GBK"/>
                <w:b w:val="0"/>
                <w:bCs w:val="0"/>
                <w:kern w:val="0"/>
                <w:szCs w:val="21"/>
              </w:rPr>
              <w:t>办学</w:t>
            </w:r>
            <w:r>
              <w:rPr>
                <w:rFonts w:hint="eastAsia" w:ascii="方正楷体_GBK" w:hAnsi="方正楷体_GBK" w:eastAsia="方正楷体_GBK" w:cs="方正楷体_GBK"/>
                <w:b w:val="0"/>
                <w:bCs w:val="0"/>
                <w:kern w:val="0"/>
                <w:szCs w:val="21"/>
                <w:lang w:eastAsia="zh-CN"/>
              </w:rPr>
              <w:t>方向</w:t>
            </w:r>
            <w:r>
              <w:rPr>
                <w:rFonts w:hint="eastAsia" w:ascii="方正楷体_GBK" w:hAnsi="方正楷体_GBK" w:eastAsia="方正楷体_GBK" w:cs="方正楷体_GBK"/>
                <w:b w:val="0"/>
                <w:bCs w:val="0"/>
                <w:kern w:val="0"/>
                <w:szCs w:val="21"/>
              </w:rPr>
              <w:t>与目标</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0D79C43F">
            <w:pPr>
              <w:jc w:val="center"/>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val="en-US" w:eastAsia="zh-CN"/>
              </w:rPr>
              <w:t>1</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1D18F887">
            <w:pPr>
              <w:jc w:val="lef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办学方向</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3466C752">
            <w:pPr>
              <w:jc w:val="center"/>
              <w:rPr>
                <w:rFonts w:hint="eastAsia" w:ascii="Times New Roman" w:hAnsi="Times New Roman" w:eastAsia="仿宋_GB2312" w:cs="Times New Roman"/>
                <w:b w:val="0"/>
                <w:bCs w:val="0"/>
                <w:kern w:val="0"/>
                <w:szCs w:val="21"/>
                <w:lang w:val="en-US" w:eastAsia="zh-CN"/>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1CB36CEE">
            <w:pPr>
              <w:jc w:val="left"/>
              <w:rPr>
                <w:rFonts w:ascii="Times New Roman" w:hAnsi="Times New Roman" w:eastAsia="仿宋_GB2312" w:cs="Times New Roman"/>
                <w:b w:val="0"/>
                <w:bCs w:val="0"/>
                <w:kern w:val="0"/>
                <w:szCs w:val="21"/>
              </w:rPr>
            </w:pPr>
          </w:p>
        </w:tc>
      </w:tr>
      <w:tr w14:paraId="0B32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67AE348B">
            <w:pPr>
              <w:jc w:val="center"/>
              <w:rPr>
                <w:rFonts w:hint="eastAsia" w:ascii="方正楷体_GBK" w:hAnsi="方正楷体_GBK" w:eastAsia="方正楷体_GBK" w:cs="方正楷体_GBK"/>
                <w:b w:val="0"/>
                <w:bCs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67507CFD">
            <w:pPr>
              <w:jc w:val="center"/>
              <w:rPr>
                <w:rFonts w:hint="eastAsia" w:ascii="方正仿宋_GBK" w:hAnsi="方正仿宋_GBK" w:eastAsia="方正仿宋_GBK" w:cs="方正仿宋_GBK"/>
                <w:b w:val="0"/>
                <w:bCs w:val="0"/>
                <w:szCs w:val="21"/>
                <w:lang w:val="en-US" w:eastAsia="zh-CN"/>
              </w:rPr>
            </w:pPr>
            <w:r>
              <w:rPr>
                <w:rFonts w:hint="eastAsia" w:ascii="方正仿宋_GBK" w:hAnsi="方正仿宋_GBK" w:eastAsia="方正仿宋_GBK" w:cs="方正仿宋_GBK"/>
                <w:b w:val="0"/>
                <w:bCs w:val="0"/>
                <w:szCs w:val="21"/>
                <w:lang w:val="en-US" w:eastAsia="zh-CN"/>
              </w:rPr>
              <w:t>2</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54BC703A">
            <w:pPr>
              <w:jc w:val="left"/>
              <w:rPr>
                <w:rFonts w:hint="eastAsia" w:ascii="方正仿宋_GBK" w:hAnsi="方正仿宋_GBK" w:eastAsia="方正仿宋_GBK" w:cs="方正仿宋_GBK"/>
                <w:b w:val="0"/>
                <w:bCs w:val="0"/>
                <w:szCs w:val="21"/>
              </w:rPr>
            </w:pPr>
            <w:r>
              <w:rPr>
                <w:rFonts w:hint="eastAsia" w:ascii="方正仿宋_GBK" w:hAnsi="方正仿宋_GBK" w:eastAsia="方正仿宋_GBK" w:cs="方正仿宋_GBK"/>
                <w:b w:val="0"/>
                <w:bCs w:val="0"/>
                <w:szCs w:val="21"/>
              </w:rPr>
              <w:t>办学目标</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10F0A3B3">
            <w:pPr>
              <w:jc w:val="center"/>
              <w:rPr>
                <w:rFonts w:ascii="Times New Roman" w:hAnsi="Times New Roman" w:eastAsia="仿宋_GB2312" w:cs="Times New Roman"/>
                <w:b w:val="0"/>
                <w:bCs w:val="0"/>
                <w:szCs w:val="21"/>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55BE3756">
            <w:pPr>
              <w:jc w:val="left"/>
              <w:rPr>
                <w:rFonts w:ascii="Times New Roman" w:hAnsi="Times New Roman" w:eastAsia="仿宋_GB2312" w:cs="Times New Roman"/>
                <w:b w:val="0"/>
                <w:bCs w:val="0"/>
                <w:szCs w:val="21"/>
              </w:rPr>
            </w:pPr>
          </w:p>
        </w:tc>
      </w:tr>
      <w:tr w14:paraId="62E2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67CF9DDB">
            <w:pPr>
              <w:jc w:val="center"/>
              <w:rPr>
                <w:rFonts w:hint="eastAsia" w:ascii="方正楷体_GBK" w:hAnsi="方正楷体_GBK" w:eastAsia="方正楷体_GBK" w:cs="方正楷体_GBK"/>
                <w:b w:val="0"/>
                <w:bCs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73E9D2C8">
            <w:pPr>
              <w:jc w:val="center"/>
              <w:rPr>
                <w:rFonts w:hint="default" w:ascii="方正仿宋_GBK" w:hAnsi="方正仿宋_GBK" w:eastAsia="方正仿宋_GBK" w:cs="方正仿宋_GBK"/>
                <w:b w:val="0"/>
                <w:bCs w:val="0"/>
                <w:szCs w:val="21"/>
                <w:lang w:val="en-US" w:eastAsia="zh-CN"/>
              </w:rPr>
            </w:pPr>
            <w:r>
              <w:rPr>
                <w:rFonts w:hint="eastAsia" w:ascii="方正仿宋_GBK" w:hAnsi="方正仿宋_GBK" w:eastAsia="方正仿宋_GBK" w:cs="方正仿宋_GBK"/>
                <w:b w:val="0"/>
                <w:bCs w:val="0"/>
                <w:szCs w:val="21"/>
                <w:lang w:val="en-US" w:eastAsia="zh-CN"/>
              </w:rPr>
              <w:t>3</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3E932B2D">
            <w:pPr>
              <w:jc w:val="left"/>
              <w:rPr>
                <w:rFonts w:hint="eastAsia" w:ascii="方正仿宋_GBK" w:hAnsi="方正仿宋_GBK" w:eastAsia="方正仿宋_GBK" w:cs="方正仿宋_GBK"/>
                <w:b w:val="0"/>
                <w:bCs w:val="0"/>
                <w:szCs w:val="21"/>
                <w:lang w:val="en-US" w:eastAsia="zh-CN"/>
              </w:rPr>
            </w:pPr>
            <w:r>
              <w:rPr>
                <w:rFonts w:hint="eastAsia" w:ascii="方正仿宋_GBK" w:hAnsi="方正仿宋_GBK" w:eastAsia="方正仿宋_GBK" w:cs="方正仿宋_GBK"/>
                <w:b w:val="0"/>
                <w:bCs w:val="0"/>
                <w:szCs w:val="21"/>
                <w:lang w:val="en-US" w:eastAsia="zh-CN"/>
              </w:rPr>
              <w:t>办学依据</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66BDBF29">
            <w:pPr>
              <w:jc w:val="center"/>
              <w:rPr>
                <w:rFonts w:ascii="Times New Roman" w:hAnsi="Times New Roman" w:eastAsia="仿宋_GB2312" w:cs="Times New Roman"/>
                <w:b w:val="0"/>
                <w:bCs w:val="0"/>
                <w:szCs w:val="21"/>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3CC75728">
            <w:pPr>
              <w:jc w:val="left"/>
              <w:rPr>
                <w:rFonts w:ascii="Times New Roman" w:hAnsi="Times New Roman" w:eastAsia="仿宋_GB2312" w:cs="Times New Roman"/>
                <w:b w:val="0"/>
                <w:bCs w:val="0"/>
                <w:szCs w:val="21"/>
              </w:rPr>
            </w:pPr>
          </w:p>
        </w:tc>
      </w:tr>
      <w:tr w14:paraId="2359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bottom w:val="single" w:color="auto" w:sz="4" w:space="0"/>
              <w:right w:val="single" w:color="auto" w:sz="4" w:space="0"/>
            </w:tcBorders>
            <w:noWrap w:val="0"/>
            <w:vAlign w:val="center"/>
          </w:tcPr>
          <w:p w14:paraId="551F1B5E">
            <w:pPr>
              <w:spacing w:line="340" w:lineRule="exact"/>
              <w:jc w:val="center"/>
              <w:rPr>
                <w:rFonts w:hint="eastAsia" w:ascii="方正楷体_GBK" w:hAnsi="方正楷体_GBK" w:eastAsia="方正楷体_GBK" w:cs="方正楷体_GBK"/>
                <w:b w:val="0"/>
                <w:bCs w:val="0"/>
                <w:kern w:val="0"/>
                <w:szCs w:val="21"/>
                <w:lang w:eastAsia="zh-CN"/>
              </w:rPr>
            </w:pPr>
            <w:r>
              <w:rPr>
                <w:rFonts w:hint="eastAsia" w:ascii="方正楷体_GBK" w:hAnsi="方正楷体_GBK" w:eastAsia="方正楷体_GBK" w:cs="方正楷体_GBK"/>
                <w:b w:val="0"/>
                <w:bCs w:val="0"/>
                <w:kern w:val="0"/>
                <w:szCs w:val="21"/>
              </w:rPr>
              <w:t>2</w:t>
            </w:r>
            <w:r>
              <w:rPr>
                <w:rFonts w:hint="eastAsia" w:ascii="方正楷体_GBK" w:hAnsi="方正楷体_GBK" w:eastAsia="方正楷体_GBK" w:cs="方正楷体_GBK"/>
                <w:b w:val="0"/>
                <w:bCs w:val="0"/>
                <w:kern w:val="0"/>
                <w:szCs w:val="21"/>
                <w:lang w:val="en-US" w:eastAsia="zh-CN"/>
              </w:rPr>
              <w:t>.</w:t>
            </w:r>
            <w:r>
              <w:rPr>
                <w:rFonts w:hint="eastAsia" w:ascii="方正楷体_GBK" w:hAnsi="方正楷体_GBK" w:eastAsia="方正楷体_GBK" w:cs="方正楷体_GBK"/>
                <w:b w:val="0"/>
                <w:bCs w:val="0"/>
                <w:kern w:val="0"/>
                <w:szCs w:val="21"/>
              </w:rPr>
              <w:t>管理</w:t>
            </w:r>
            <w:r>
              <w:rPr>
                <w:rFonts w:hint="eastAsia" w:ascii="方正楷体_GBK" w:hAnsi="方正楷体_GBK" w:eastAsia="方正楷体_GBK" w:cs="方正楷体_GBK"/>
                <w:b w:val="0"/>
                <w:bCs w:val="0"/>
                <w:kern w:val="0"/>
                <w:szCs w:val="21"/>
                <w:lang w:eastAsia="zh-CN"/>
              </w:rPr>
              <w:t>制度</w:t>
            </w:r>
          </w:p>
        </w:tc>
        <w:tc>
          <w:tcPr>
            <w:tcW w:w="452" w:type="pct"/>
            <w:tcBorders>
              <w:top w:val="single" w:color="auto" w:sz="4" w:space="0"/>
              <w:left w:val="single" w:color="auto" w:sz="4" w:space="0"/>
              <w:bottom w:val="single" w:color="auto" w:sz="4" w:space="0"/>
              <w:right w:val="single" w:color="auto" w:sz="4" w:space="0"/>
            </w:tcBorders>
            <w:noWrap w:val="0"/>
            <w:vAlign w:val="top"/>
          </w:tcPr>
          <w:p w14:paraId="29AE86F8">
            <w:pPr>
              <w:spacing w:line="340" w:lineRule="exact"/>
              <w:jc w:val="center"/>
              <w:rPr>
                <w:rFonts w:hint="eastAsia"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4</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13809185">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党建与思政工作</w:t>
            </w:r>
          </w:p>
        </w:tc>
        <w:tc>
          <w:tcPr>
            <w:tcW w:w="789" w:type="pct"/>
            <w:tcBorders>
              <w:top w:val="single" w:color="auto" w:sz="4" w:space="0"/>
              <w:left w:val="single" w:color="auto" w:sz="4" w:space="0"/>
              <w:bottom w:val="single" w:color="auto" w:sz="4" w:space="0"/>
              <w:right w:val="single" w:color="auto" w:sz="4" w:space="0"/>
            </w:tcBorders>
            <w:noWrap w:val="0"/>
            <w:vAlign w:val="top"/>
          </w:tcPr>
          <w:p w14:paraId="52F5730C">
            <w:pPr>
              <w:spacing w:line="340" w:lineRule="exact"/>
              <w:jc w:val="center"/>
              <w:rPr>
                <w:rFonts w:ascii="Times New Roman" w:hAnsi="Times New Roman" w:eastAsia="仿宋_GB2312" w:cs="Times New Roman"/>
                <w:b w:val="0"/>
                <w:bCs w:val="0"/>
                <w:kern w:val="0"/>
                <w:szCs w:val="21"/>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6E160580">
            <w:pPr>
              <w:spacing w:line="340" w:lineRule="exact"/>
              <w:rPr>
                <w:rFonts w:ascii="Times New Roman" w:hAnsi="Times New Roman" w:eastAsia="仿宋_GB2312" w:cs="Times New Roman"/>
                <w:b w:val="0"/>
                <w:bCs w:val="0"/>
                <w:kern w:val="0"/>
                <w:szCs w:val="21"/>
              </w:rPr>
            </w:pPr>
          </w:p>
        </w:tc>
      </w:tr>
      <w:tr w14:paraId="3875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252D20B4">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78B7382C">
            <w:pPr>
              <w:spacing w:line="340" w:lineRule="exact"/>
              <w:jc w:val="center"/>
              <w:rPr>
                <w:rFonts w:hint="eastAsia"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5</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215BFFC1">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rPr>
              <w:t>管理</w:t>
            </w:r>
            <w:r>
              <w:rPr>
                <w:rFonts w:hint="eastAsia" w:ascii="方正仿宋_GBK" w:hAnsi="方正仿宋_GBK" w:eastAsia="方正仿宋_GBK" w:cs="方正仿宋_GBK"/>
                <w:b w:val="0"/>
                <w:bCs w:val="0"/>
                <w:kern w:val="0"/>
                <w:szCs w:val="21"/>
                <w:lang w:eastAsia="zh-CN"/>
              </w:rPr>
              <w:t>制度</w:t>
            </w:r>
          </w:p>
        </w:tc>
        <w:tc>
          <w:tcPr>
            <w:tcW w:w="789" w:type="pct"/>
            <w:tcBorders>
              <w:top w:val="single" w:color="auto" w:sz="4" w:space="0"/>
              <w:left w:val="single" w:color="auto" w:sz="4" w:space="0"/>
              <w:bottom w:val="single" w:color="auto" w:sz="4" w:space="0"/>
              <w:right w:val="single" w:color="auto" w:sz="4" w:space="0"/>
            </w:tcBorders>
            <w:noWrap w:val="0"/>
            <w:vAlign w:val="top"/>
          </w:tcPr>
          <w:p w14:paraId="3E860AAF">
            <w:pPr>
              <w:spacing w:line="340" w:lineRule="exact"/>
              <w:jc w:val="center"/>
              <w:rPr>
                <w:rFonts w:ascii="Times New Roman" w:hAnsi="Times New Roman" w:eastAsia="仿宋_GB2312" w:cs="Times New Roman"/>
                <w:b w:val="0"/>
                <w:bCs w:val="0"/>
                <w:kern w:val="0"/>
                <w:szCs w:val="21"/>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3C3F50CB">
            <w:pPr>
              <w:spacing w:line="340" w:lineRule="exact"/>
              <w:rPr>
                <w:rFonts w:ascii="Times New Roman" w:hAnsi="Times New Roman" w:eastAsia="仿宋_GB2312" w:cs="Times New Roman"/>
                <w:b w:val="0"/>
                <w:bCs w:val="0"/>
                <w:kern w:val="0"/>
                <w:szCs w:val="21"/>
              </w:rPr>
            </w:pPr>
          </w:p>
        </w:tc>
      </w:tr>
      <w:tr w14:paraId="520E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16536E4A">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6330CC54">
            <w:pPr>
              <w:spacing w:line="340" w:lineRule="exact"/>
              <w:jc w:val="center"/>
              <w:rPr>
                <w:rFonts w:hint="eastAsia"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6</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7837ACB2">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招生与学籍管理</w:t>
            </w:r>
          </w:p>
        </w:tc>
        <w:tc>
          <w:tcPr>
            <w:tcW w:w="789" w:type="pct"/>
            <w:tcBorders>
              <w:top w:val="single" w:color="auto" w:sz="4" w:space="0"/>
              <w:left w:val="single" w:color="auto" w:sz="4" w:space="0"/>
              <w:bottom w:val="single" w:color="auto" w:sz="4" w:space="0"/>
              <w:right w:val="single" w:color="auto" w:sz="4" w:space="0"/>
            </w:tcBorders>
            <w:noWrap w:val="0"/>
            <w:vAlign w:val="top"/>
          </w:tcPr>
          <w:p w14:paraId="6B33EBBA">
            <w:pPr>
              <w:spacing w:line="340" w:lineRule="exact"/>
              <w:jc w:val="center"/>
              <w:rPr>
                <w:rFonts w:ascii="Times New Roman" w:hAnsi="Times New Roman" w:eastAsia="仿宋_GB2312" w:cs="Times New Roman"/>
                <w:b w:val="0"/>
                <w:bCs w:val="0"/>
                <w:kern w:val="0"/>
                <w:szCs w:val="21"/>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415744A1">
            <w:pPr>
              <w:spacing w:line="340" w:lineRule="exact"/>
              <w:rPr>
                <w:rFonts w:ascii="Times New Roman" w:hAnsi="Times New Roman" w:eastAsia="仿宋_GB2312" w:cs="Times New Roman"/>
                <w:b w:val="0"/>
                <w:bCs w:val="0"/>
                <w:kern w:val="0"/>
                <w:szCs w:val="21"/>
              </w:rPr>
            </w:pPr>
          </w:p>
        </w:tc>
      </w:tr>
      <w:tr w14:paraId="529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7BC4852E">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5F5E3D74">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7</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2F0E5ADA">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lang w:eastAsia="zh-CN"/>
              </w:rPr>
              <w:t>文凭与证书管理</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21FD88">
            <w:pPr>
              <w:jc w:val="center"/>
              <w:rPr>
                <w:rFonts w:hint="eastAsia"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2E72C4FB">
            <w:pPr>
              <w:spacing w:line="340" w:lineRule="exact"/>
              <w:rPr>
                <w:rFonts w:ascii="Times New Roman" w:hAnsi="Times New Roman" w:eastAsia="仿宋_GB2312" w:cs="Times New Roman"/>
                <w:b w:val="0"/>
                <w:bCs w:val="0"/>
                <w:kern w:val="0"/>
                <w:szCs w:val="21"/>
              </w:rPr>
            </w:pPr>
          </w:p>
        </w:tc>
      </w:tr>
      <w:tr w14:paraId="6162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38E4725F">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2C98FBFE">
            <w:pPr>
              <w:spacing w:line="340" w:lineRule="exact"/>
              <w:jc w:val="center"/>
              <w:rPr>
                <w:rFonts w:hint="eastAsia"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8</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71C8374B">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财务管理</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6D92D1">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35920871">
            <w:pPr>
              <w:spacing w:line="340" w:lineRule="exact"/>
              <w:rPr>
                <w:rFonts w:ascii="Times New Roman" w:hAnsi="Times New Roman" w:eastAsia="仿宋_GB2312" w:cs="Times New Roman"/>
                <w:b w:val="0"/>
                <w:bCs w:val="0"/>
                <w:kern w:val="0"/>
                <w:szCs w:val="21"/>
              </w:rPr>
            </w:pPr>
          </w:p>
        </w:tc>
      </w:tr>
      <w:tr w14:paraId="00A2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3EA988B8">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363617D7">
            <w:pPr>
              <w:spacing w:line="340" w:lineRule="exact"/>
              <w:jc w:val="center"/>
              <w:rPr>
                <w:rFonts w:hint="eastAsia"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9</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0047E1AC">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学生权益保障</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227A985">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2E851738">
            <w:pPr>
              <w:spacing w:line="340" w:lineRule="exact"/>
              <w:rPr>
                <w:rFonts w:ascii="Times New Roman" w:hAnsi="Times New Roman" w:eastAsia="仿宋_GB2312" w:cs="Times New Roman"/>
                <w:b w:val="0"/>
                <w:bCs w:val="0"/>
                <w:kern w:val="0"/>
                <w:szCs w:val="21"/>
              </w:rPr>
            </w:pPr>
          </w:p>
        </w:tc>
      </w:tr>
      <w:tr w14:paraId="249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bottom w:val="single" w:color="auto" w:sz="4" w:space="0"/>
              <w:right w:val="single" w:color="auto" w:sz="4" w:space="0"/>
            </w:tcBorders>
            <w:noWrap w:val="0"/>
            <w:vAlign w:val="center"/>
          </w:tcPr>
          <w:p w14:paraId="50E167BD">
            <w:pPr>
              <w:jc w:val="center"/>
              <w:rPr>
                <w:rFonts w:hint="eastAsia" w:ascii="方正楷体_GBK" w:hAnsi="方正楷体_GBK" w:eastAsia="方正楷体_GBK" w:cs="方正楷体_GBK"/>
                <w:b w:val="0"/>
                <w:bCs w:val="0"/>
                <w:kern w:val="0"/>
                <w:szCs w:val="21"/>
              </w:rPr>
            </w:pPr>
            <w:r>
              <w:rPr>
                <w:rFonts w:hint="eastAsia" w:ascii="方正楷体_GBK" w:hAnsi="方正楷体_GBK" w:eastAsia="方正楷体_GBK" w:cs="方正楷体_GBK"/>
                <w:b w:val="0"/>
                <w:bCs w:val="0"/>
                <w:kern w:val="0"/>
                <w:szCs w:val="21"/>
              </w:rPr>
              <w:t>3</w:t>
            </w:r>
            <w:r>
              <w:rPr>
                <w:rFonts w:hint="eastAsia" w:ascii="方正楷体_GBK" w:hAnsi="方正楷体_GBK" w:eastAsia="方正楷体_GBK" w:cs="方正楷体_GBK"/>
                <w:b w:val="0"/>
                <w:bCs w:val="0"/>
                <w:kern w:val="0"/>
                <w:szCs w:val="21"/>
                <w:lang w:val="en-US" w:eastAsia="zh-CN"/>
              </w:rPr>
              <w:t>.</w:t>
            </w:r>
            <w:r>
              <w:rPr>
                <w:rFonts w:hint="eastAsia" w:ascii="方正楷体_GBK" w:hAnsi="方正楷体_GBK" w:eastAsia="方正楷体_GBK" w:cs="方正楷体_GBK"/>
                <w:b w:val="0"/>
                <w:bCs w:val="0"/>
                <w:kern w:val="0"/>
                <w:szCs w:val="21"/>
              </w:rPr>
              <w:t>师资队伍</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65144F9">
            <w:pPr>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10</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28AA577D">
            <w:pPr>
              <w:jc w:val="lef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师资队伍建设</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01DCC826">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top"/>
          </w:tcPr>
          <w:p w14:paraId="19F877FD">
            <w:pPr>
              <w:spacing w:line="340" w:lineRule="exact"/>
              <w:rPr>
                <w:rFonts w:ascii="Times New Roman" w:hAnsi="Times New Roman" w:eastAsia="仿宋_GB2312" w:cs="Times New Roman"/>
                <w:b w:val="0"/>
                <w:bCs w:val="0"/>
                <w:kern w:val="0"/>
                <w:szCs w:val="21"/>
              </w:rPr>
            </w:pPr>
          </w:p>
        </w:tc>
      </w:tr>
      <w:tr w14:paraId="4066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575AD502">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1241B580">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11</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33258C0C">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中方师资队伍质量</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F00479C">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top"/>
          </w:tcPr>
          <w:p w14:paraId="38B231E2">
            <w:pPr>
              <w:spacing w:line="340" w:lineRule="exact"/>
              <w:rPr>
                <w:rFonts w:ascii="Times New Roman" w:hAnsi="Times New Roman" w:eastAsia="仿宋_GB2312" w:cs="Times New Roman"/>
                <w:b w:val="0"/>
                <w:bCs w:val="0"/>
                <w:kern w:val="0"/>
                <w:szCs w:val="21"/>
              </w:rPr>
            </w:pPr>
          </w:p>
        </w:tc>
      </w:tr>
      <w:tr w14:paraId="78B5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4946EA58">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63B90EA0">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12</w:t>
            </w:r>
          </w:p>
        </w:tc>
        <w:tc>
          <w:tcPr>
            <w:tcW w:w="1522" w:type="pct"/>
            <w:tcBorders>
              <w:top w:val="single" w:color="auto" w:sz="4" w:space="0"/>
              <w:left w:val="single" w:color="auto" w:sz="4" w:space="0"/>
              <w:bottom w:val="single" w:color="auto" w:sz="4" w:space="0"/>
              <w:right w:val="single" w:color="auto" w:sz="4" w:space="0"/>
            </w:tcBorders>
            <w:noWrap w:val="0"/>
            <w:vAlign w:val="center"/>
          </w:tcPr>
          <w:p w14:paraId="6CA60B42">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外方师资队伍质量</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4DF9C6C3">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top"/>
          </w:tcPr>
          <w:p w14:paraId="6FC12DAC">
            <w:pPr>
              <w:spacing w:line="340" w:lineRule="exact"/>
              <w:rPr>
                <w:rFonts w:ascii="Times New Roman" w:hAnsi="Times New Roman" w:eastAsia="仿宋_GB2312" w:cs="Times New Roman"/>
                <w:b w:val="0"/>
                <w:bCs w:val="0"/>
                <w:kern w:val="0"/>
                <w:szCs w:val="21"/>
              </w:rPr>
            </w:pPr>
          </w:p>
        </w:tc>
      </w:tr>
      <w:tr w14:paraId="76BC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bottom w:val="single" w:color="auto" w:sz="4" w:space="0"/>
              <w:right w:val="single" w:color="auto" w:sz="4" w:space="0"/>
            </w:tcBorders>
            <w:noWrap w:val="0"/>
            <w:vAlign w:val="center"/>
          </w:tcPr>
          <w:p w14:paraId="3DFED417">
            <w:pPr>
              <w:spacing w:line="340" w:lineRule="exact"/>
              <w:jc w:val="center"/>
              <w:rPr>
                <w:rFonts w:hint="eastAsia" w:ascii="方正楷体_GBK" w:hAnsi="方正楷体_GBK" w:eastAsia="方正楷体_GBK" w:cs="方正楷体_GBK"/>
                <w:b w:val="0"/>
                <w:bCs w:val="0"/>
                <w:szCs w:val="21"/>
              </w:rPr>
            </w:pPr>
            <w:r>
              <w:rPr>
                <w:rFonts w:hint="eastAsia" w:ascii="方正楷体_GBK" w:hAnsi="方正楷体_GBK" w:eastAsia="方正楷体_GBK" w:cs="方正楷体_GBK"/>
                <w:b w:val="0"/>
                <w:bCs w:val="0"/>
                <w:kern w:val="0"/>
                <w:szCs w:val="21"/>
              </w:rPr>
              <w:t>4</w:t>
            </w:r>
            <w:r>
              <w:rPr>
                <w:rFonts w:hint="eastAsia" w:ascii="方正楷体_GBK" w:hAnsi="方正楷体_GBK" w:eastAsia="方正楷体_GBK" w:cs="方正楷体_GBK"/>
                <w:b w:val="0"/>
                <w:bCs w:val="0"/>
                <w:kern w:val="0"/>
                <w:szCs w:val="21"/>
                <w:lang w:val="en-US" w:eastAsia="zh-CN"/>
              </w:rPr>
              <w:t>.</w:t>
            </w:r>
            <w:r>
              <w:rPr>
                <w:rFonts w:hint="eastAsia" w:ascii="方正楷体_GBK" w:hAnsi="方正楷体_GBK" w:eastAsia="方正楷体_GBK" w:cs="方正楷体_GBK"/>
                <w:b w:val="0"/>
                <w:bCs w:val="0"/>
                <w:kern w:val="0"/>
                <w:szCs w:val="21"/>
              </w:rPr>
              <w:t>教学实施</w:t>
            </w:r>
          </w:p>
        </w:tc>
        <w:tc>
          <w:tcPr>
            <w:tcW w:w="452" w:type="pct"/>
            <w:tcBorders>
              <w:top w:val="single" w:color="auto" w:sz="4" w:space="0"/>
              <w:left w:val="single" w:color="auto" w:sz="4" w:space="0"/>
              <w:bottom w:val="single" w:color="auto" w:sz="4" w:space="0"/>
              <w:right w:val="single" w:color="auto" w:sz="4" w:space="0"/>
            </w:tcBorders>
            <w:noWrap w:val="0"/>
            <w:vAlign w:val="top"/>
          </w:tcPr>
          <w:p w14:paraId="57ACE914">
            <w:pPr>
              <w:spacing w:line="340" w:lineRule="exact"/>
              <w:jc w:val="center"/>
              <w:rPr>
                <w:rFonts w:hint="default" w:ascii="方正仿宋_GBK" w:hAnsi="方正仿宋_GBK" w:eastAsia="方正仿宋_GBK" w:cs="方正仿宋_GBK"/>
                <w:b w:val="0"/>
                <w:bCs w:val="0"/>
                <w:szCs w:val="21"/>
                <w:lang w:val="en-US" w:eastAsia="zh-CN"/>
              </w:rPr>
            </w:pPr>
            <w:r>
              <w:rPr>
                <w:rFonts w:hint="eastAsia" w:ascii="方正仿宋_GBK" w:hAnsi="方正仿宋_GBK" w:eastAsia="方正仿宋_GBK" w:cs="方正仿宋_GBK"/>
                <w:b w:val="0"/>
                <w:bCs w:val="0"/>
                <w:szCs w:val="21"/>
                <w:lang w:val="en-US" w:eastAsia="zh-CN"/>
              </w:rPr>
              <w:t>13</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6165A312">
            <w:pPr>
              <w:spacing w:line="340" w:lineRule="exact"/>
              <w:rPr>
                <w:rFonts w:hint="eastAsia" w:ascii="方正仿宋_GBK" w:hAnsi="方正仿宋_GBK" w:eastAsia="方正仿宋_GBK" w:cs="方正仿宋_GBK"/>
                <w:b w:val="0"/>
                <w:bCs w:val="0"/>
                <w:szCs w:val="21"/>
              </w:rPr>
            </w:pPr>
            <w:r>
              <w:rPr>
                <w:rFonts w:hint="eastAsia" w:ascii="方正仿宋_GBK" w:hAnsi="方正仿宋_GBK" w:eastAsia="方正仿宋_GBK" w:cs="方正仿宋_GBK"/>
                <w:b w:val="0"/>
                <w:bCs w:val="0"/>
                <w:szCs w:val="21"/>
              </w:rPr>
              <w:t>教学</w:t>
            </w:r>
            <w:r>
              <w:rPr>
                <w:rFonts w:hint="eastAsia" w:ascii="方正仿宋_GBK" w:hAnsi="方正仿宋_GBK" w:eastAsia="方正仿宋_GBK" w:cs="方正仿宋_GBK"/>
                <w:b w:val="0"/>
                <w:bCs w:val="0"/>
                <w:szCs w:val="21"/>
                <w:lang w:eastAsia="zh-CN"/>
              </w:rPr>
              <w:t>安排</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4A87EC">
            <w:pPr>
              <w:jc w:val="center"/>
              <w:rPr>
                <w:rFonts w:hint="eastAsia"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6C8D5DFB">
            <w:pPr>
              <w:spacing w:line="340" w:lineRule="exact"/>
              <w:rPr>
                <w:rFonts w:ascii="Times New Roman" w:hAnsi="Times New Roman" w:eastAsia="仿宋_GB2312" w:cs="Times New Roman"/>
                <w:b w:val="0"/>
                <w:bCs w:val="0"/>
                <w:szCs w:val="21"/>
              </w:rPr>
            </w:pPr>
          </w:p>
        </w:tc>
      </w:tr>
      <w:tr w14:paraId="6A12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0037511A">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3C8CE1D8">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14</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05267F44">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外方课程引进与融合创新</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57EE33">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40DB39DA">
            <w:pPr>
              <w:spacing w:line="340" w:lineRule="exact"/>
              <w:rPr>
                <w:rFonts w:ascii="Times New Roman" w:hAnsi="Times New Roman" w:eastAsia="仿宋_GB2312" w:cs="Times New Roman"/>
                <w:b w:val="0"/>
                <w:bCs w:val="0"/>
                <w:kern w:val="0"/>
                <w:szCs w:val="21"/>
              </w:rPr>
            </w:pPr>
          </w:p>
        </w:tc>
      </w:tr>
      <w:tr w14:paraId="375F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2D4099A5">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120EDD8F">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15</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0B270297">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中方教师授课情况</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A2D78C">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022D7828">
            <w:pPr>
              <w:spacing w:line="340" w:lineRule="exact"/>
              <w:rPr>
                <w:rFonts w:ascii="Times New Roman" w:hAnsi="Times New Roman" w:eastAsia="仿宋_GB2312" w:cs="Times New Roman"/>
                <w:b w:val="0"/>
                <w:bCs w:val="0"/>
                <w:kern w:val="0"/>
                <w:szCs w:val="21"/>
              </w:rPr>
            </w:pPr>
          </w:p>
        </w:tc>
      </w:tr>
      <w:tr w14:paraId="2E31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073D8C12">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4F13BB89">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16</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25C8C0B6">
            <w:pPr>
              <w:spacing w:line="340" w:lineRule="exact"/>
              <w:rPr>
                <w:rFonts w:hint="eastAsia" w:ascii="方正仿宋_GBK" w:hAnsi="方正仿宋_GBK" w:eastAsia="方正仿宋_GBK" w:cs="方正仿宋_GBK"/>
                <w:b w:val="0"/>
                <w:bCs w:val="0"/>
                <w:kern w:val="0"/>
                <w:szCs w:val="21"/>
              </w:rPr>
            </w:pPr>
            <w:r>
              <w:rPr>
                <w:rFonts w:hint="eastAsia" w:ascii="方正仿宋_GBK" w:hAnsi="方正仿宋_GBK" w:eastAsia="方正仿宋_GBK" w:cs="方正仿宋_GBK"/>
                <w:b w:val="0"/>
                <w:bCs w:val="0"/>
                <w:kern w:val="0"/>
                <w:szCs w:val="21"/>
              </w:rPr>
              <w:t>外方教师授课情况</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460E872A">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724FC44E">
            <w:pPr>
              <w:spacing w:line="340" w:lineRule="exact"/>
              <w:rPr>
                <w:rFonts w:ascii="Times New Roman" w:hAnsi="Times New Roman" w:eastAsia="仿宋_GB2312" w:cs="Times New Roman"/>
                <w:b w:val="0"/>
                <w:bCs w:val="0"/>
                <w:kern w:val="0"/>
                <w:szCs w:val="21"/>
              </w:rPr>
            </w:pPr>
          </w:p>
        </w:tc>
      </w:tr>
      <w:tr w14:paraId="09FD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top w:val="single" w:color="auto" w:sz="4" w:space="0"/>
              <w:left w:val="single" w:color="auto" w:sz="4" w:space="0"/>
              <w:bottom w:val="single" w:color="auto" w:sz="4" w:space="0"/>
              <w:right w:val="single" w:color="auto" w:sz="4" w:space="0"/>
            </w:tcBorders>
            <w:noWrap w:val="0"/>
            <w:vAlign w:val="center"/>
          </w:tcPr>
          <w:p w14:paraId="4EDBC379">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2F82BA60">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17</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137ECE6C">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教学质量监督</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0F549817">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603BD595">
            <w:pPr>
              <w:spacing w:line="340" w:lineRule="exact"/>
              <w:rPr>
                <w:rFonts w:ascii="Times New Roman" w:hAnsi="Times New Roman" w:eastAsia="仿宋_GB2312" w:cs="Times New Roman"/>
                <w:b w:val="0"/>
                <w:bCs w:val="0"/>
                <w:kern w:val="0"/>
                <w:szCs w:val="21"/>
              </w:rPr>
            </w:pPr>
          </w:p>
        </w:tc>
      </w:tr>
      <w:tr w14:paraId="3A5B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right w:val="single" w:color="auto" w:sz="4" w:space="0"/>
            </w:tcBorders>
            <w:noWrap w:val="0"/>
            <w:vAlign w:val="center"/>
          </w:tcPr>
          <w:p w14:paraId="55BABA72">
            <w:pPr>
              <w:spacing w:line="340" w:lineRule="exact"/>
              <w:jc w:val="center"/>
              <w:rPr>
                <w:rFonts w:hint="eastAsia" w:ascii="方正楷体_GBK" w:hAnsi="方正楷体_GBK" w:eastAsia="方正楷体_GBK" w:cs="方正楷体_GBK"/>
                <w:b w:val="0"/>
                <w:bCs w:val="0"/>
                <w:kern w:val="0"/>
                <w:szCs w:val="21"/>
              </w:rPr>
            </w:pPr>
            <w:r>
              <w:rPr>
                <w:rFonts w:hint="eastAsia" w:ascii="方正楷体_GBK" w:hAnsi="方正楷体_GBK" w:eastAsia="方正楷体_GBK" w:cs="方正楷体_GBK"/>
                <w:b w:val="0"/>
                <w:bCs w:val="0"/>
                <w:kern w:val="0"/>
                <w:szCs w:val="21"/>
              </w:rPr>
              <w:t>5.人才培养质量</w:t>
            </w:r>
          </w:p>
        </w:tc>
        <w:tc>
          <w:tcPr>
            <w:tcW w:w="452" w:type="pct"/>
            <w:tcBorders>
              <w:top w:val="single" w:color="auto" w:sz="4" w:space="0"/>
              <w:left w:val="single" w:color="auto" w:sz="4" w:space="0"/>
              <w:bottom w:val="single" w:color="auto" w:sz="4" w:space="0"/>
              <w:right w:val="single" w:color="auto" w:sz="4" w:space="0"/>
            </w:tcBorders>
            <w:noWrap w:val="0"/>
            <w:vAlign w:val="top"/>
          </w:tcPr>
          <w:p w14:paraId="3305C36C">
            <w:pPr>
              <w:spacing w:line="340" w:lineRule="exact"/>
              <w:jc w:val="center"/>
              <w:rPr>
                <w:rFonts w:hint="default" w:ascii="方正仿宋_GBK" w:hAnsi="方正仿宋_GBK" w:eastAsia="方正仿宋_GBK" w:cs="方正仿宋_GBK"/>
                <w:b w:val="0"/>
                <w:bCs w:val="0"/>
                <w:szCs w:val="21"/>
                <w:lang w:val="en-US" w:eastAsia="zh-CN"/>
              </w:rPr>
            </w:pPr>
            <w:r>
              <w:rPr>
                <w:rFonts w:hint="eastAsia" w:ascii="方正仿宋_GBK" w:hAnsi="方正仿宋_GBK" w:eastAsia="方正仿宋_GBK" w:cs="方正仿宋_GBK"/>
                <w:b w:val="0"/>
                <w:bCs w:val="0"/>
                <w:szCs w:val="21"/>
                <w:lang w:val="en-US" w:eastAsia="zh-CN"/>
              </w:rPr>
              <w:t>18</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3FDA4002">
            <w:pPr>
              <w:spacing w:line="340" w:lineRule="exact"/>
              <w:rPr>
                <w:rFonts w:hint="eastAsia" w:ascii="方正仿宋_GBK" w:hAnsi="方正仿宋_GBK" w:eastAsia="方正仿宋_GBK" w:cs="方正仿宋_GBK"/>
                <w:b w:val="0"/>
                <w:bCs w:val="0"/>
                <w:szCs w:val="21"/>
                <w:lang w:eastAsia="zh-CN"/>
              </w:rPr>
            </w:pPr>
            <w:r>
              <w:rPr>
                <w:rFonts w:hint="eastAsia" w:ascii="方正仿宋_GBK" w:hAnsi="方正仿宋_GBK" w:eastAsia="方正仿宋_GBK" w:cs="方正仿宋_GBK"/>
                <w:b w:val="0"/>
                <w:bCs w:val="0"/>
                <w:szCs w:val="21"/>
                <w:lang w:eastAsia="zh-CN"/>
              </w:rPr>
              <w:t>招生情况</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697B388C">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5F0954CD">
            <w:pPr>
              <w:spacing w:line="340" w:lineRule="exact"/>
              <w:rPr>
                <w:rFonts w:ascii="Times New Roman" w:hAnsi="Times New Roman" w:eastAsia="仿宋_GB2312" w:cs="Times New Roman"/>
                <w:b w:val="0"/>
                <w:bCs w:val="0"/>
                <w:szCs w:val="21"/>
              </w:rPr>
            </w:pPr>
          </w:p>
        </w:tc>
      </w:tr>
      <w:tr w14:paraId="4078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left w:val="single" w:color="auto" w:sz="4" w:space="0"/>
              <w:right w:val="single" w:color="auto" w:sz="4" w:space="0"/>
            </w:tcBorders>
            <w:noWrap w:val="0"/>
            <w:vAlign w:val="center"/>
          </w:tcPr>
          <w:p w14:paraId="6B406798">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4E88CCEA">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19</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19765EEB">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在校生学习成果</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AC83C99">
            <w:pPr>
              <w:jc w:val="center"/>
              <w:rPr>
                <w:rFonts w:hint="eastAsia"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52D596B2">
            <w:pPr>
              <w:spacing w:line="340" w:lineRule="exact"/>
              <w:rPr>
                <w:rFonts w:ascii="Times New Roman" w:hAnsi="Times New Roman" w:eastAsia="仿宋_GB2312" w:cs="Times New Roman"/>
                <w:b w:val="0"/>
                <w:bCs w:val="0"/>
                <w:kern w:val="0"/>
                <w:szCs w:val="21"/>
              </w:rPr>
            </w:pPr>
          </w:p>
        </w:tc>
      </w:tr>
      <w:tr w14:paraId="117E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left w:val="single" w:color="auto" w:sz="4" w:space="0"/>
              <w:right w:val="single" w:color="auto" w:sz="4" w:space="0"/>
            </w:tcBorders>
            <w:noWrap w:val="0"/>
            <w:vAlign w:val="center"/>
          </w:tcPr>
          <w:p w14:paraId="29081489">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70CDD36D">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20</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24BE4737">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毕业生质量</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2247FE8">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274771D2">
            <w:pPr>
              <w:spacing w:line="340" w:lineRule="exact"/>
              <w:rPr>
                <w:rFonts w:ascii="Times New Roman" w:hAnsi="Times New Roman" w:eastAsia="仿宋_GB2312" w:cs="Times New Roman"/>
                <w:b w:val="0"/>
                <w:bCs w:val="0"/>
                <w:kern w:val="0"/>
                <w:szCs w:val="21"/>
              </w:rPr>
            </w:pPr>
          </w:p>
        </w:tc>
      </w:tr>
      <w:tr w14:paraId="0799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left w:val="single" w:color="auto" w:sz="4" w:space="0"/>
              <w:bottom w:val="single" w:color="auto" w:sz="4" w:space="0"/>
              <w:right w:val="single" w:color="auto" w:sz="4" w:space="0"/>
            </w:tcBorders>
            <w:noWrap w:val="0"/>
            <w:vAlign w:val="center"/>
          </w:tcPr>
          <w:p w14:paraId="03217A57">
            <w:pPr>
              <w:spacing w:line="340" w:lineRule="exact"/>
              <w:jc w:val="center"/>
              <w:rPr>
                <w:rFonts w:hint="eastAsia" w:ascii="方正楷体_GBK" w:hAnsi="方正楷体_GBK" w:eastAsia="方正楷体_GBK" w:cs="方正楷体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694097FE">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21</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3B5E5C5D">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学生满意度</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296B6F5">
            <w:pPr>
              <w:jc w:val="center"/>
              <w:rPr>
                <w:rFonts w:ascii="Times New Roman" w:hAnsi="Times New Roman" w:eastAsia="仿宋_GB2312" w:cs="Times New Roman"/>
                <w:b w:val="0"/>
                <w:bCs w:val="0"/>
                <w:kern w:val="2"/>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56DD946C">
            <w:pPr>
              <w:spacing w:line="340" w:lineRule="exact"/>
              <w:rPr>
                <w:rFonts w:ascii="Times New Roman" w:hAnsi="Times New Roman" w:eastAsia="仿宋_GB2312" w:cs="Times New Roman"/>
                <w:b w:val="0"/>
                <w:bCs w:val="0"/>
                <w:kern w:val="0"/>
                <w:szCs w:val="21"/>
              </w:rPr>
            </w:pPr>
          </w:p>
        </w:tc>
      </w:tr>
      <w:tr w14:paraId="166C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restart"/>
            <w:tcBorders>
              <w:top w:val="single" w:color="auto" w:sz="4" w:space="0"/>
              <w:left w:val="single" w:color="auto" w:sz="4" w:space="0"/>
              <w:right w:val="single" w:color="auto" w:sz="4" w:space="0"/>
            </w:tcBorders>
            <w:noWrap w:val="0"/>
            <w:vAlign w:val="center"/>
          </w:tcPr>
          <w:p w14:paraId="624D456E">
            <w:pPr>
              <w:spacing w:line="340" w:lineRule="exact"/>
              <w:jc w:val="center"/>
              <w:rPr>
                <w:rFonts w:hint="eastAsia" w:ascii="方正仿宋_GBK" w:hAnsi="方正仿宋_GBK" w:eastAsia="方正仿宋_GBK" w:cs="方正仿宋_GBK"/>
                <w:b w:val="0"/>
                <w:bCs w:val="0"/>
                <w:kern w:val="0"/>
                <w:szCs w:val="21"/>
              </w:rPr>
            </w:pPr>
            <w:r>
              <w:rPr>
                <w:rFonts w:hint="eastAsia" w:ascii="方正楷体_GBK" w:hAnsi="方正楷体_GBK" w:eastAsia="方正楷体_GBK" w:cs="方正楷体_GBK"/>
                <w:b w:val="0"/>
                <w:bCs w:val="0"/>
                <w:kern w:val="0"/>
                <w:szCs w:val="21"/>
              </w:rPr>
              <w:t>6办学效益与声誉</w:t>
            </w:r>
          </w:p>
        </w:tc>
        <w:tc>
          <w:tcPr>
            <w:tcW w:w="452" w:type="pct"/>
            <w:tcBorders>
              <w:top w:val="single" w:color="auto" w:sz="4" w:space="0"/>
              <w:left w:val="single" w:color="auto" w:sz="4" w:space="0"/>
              <w:bottom w:val="single" w:color="auto" w:sz="4" w:space="0"/>
              <w:right w:val="single" w:color="auto" w:sz="4" w:space="0"/>
            </w:tcBorders>
            <w:noWrap w:val="0"/>
            <w:vAlign w:val="top"/>
          </w:tcPr>
          <w:p w14:paraId="49EC23AD">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22</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785A9652">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办学特色</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7CFAC877">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58DD92FB">
            <w:pPr>
              <w:spacing w:line="340" w:lineRule="exact"/>
              <w:rPr>
                <w:rFonts w:ascii="Times New Roman" w:hAnsi="Times New Roman" w:eastAsia="仿宋_GB2312" w:cs="Times New Roman"/>
                <w:b w:val="0"/>
                <w:bCs w:val="0"/>
                <w:kern w:val="0"/>
                <w:szCs w:val="21"/>
              </w:rPr>
            </w:pPr>
          </w:p>
        </w:tc>
      </w:tr>
      <w:tr w14:paraId="00C5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404" w:type="pct"/>
            <w:vMerge w:val="continue"/>
            <w:tcBorders>
              <w:left w:val="single" w:color="auto" w:sz="4" w:space="0"/>
              <w:bottom w:val="single" w:color="auto" w:sz="4" w:space="0"/>
              <w:right w:val="single" w:color="auto" w:sz="4" w:space="0"/>
            </w:tcBorders>
            <w:noWrap w:val="0"/>
            <w:vAlign w:val="center"/>
          </w:tcPr>
          <w:p w14:paraId="52605B86">
            <w:pPr>
              <w:spacing w:line="340" w:lineRule="exact"/>
              <w:rPr>
                <w:rFonts w:hint="eastAsia" w:ascii="方正仿宋_GBK" w:hAnsi="方正仿宋_GBK" w:eastAsia="方正仿宋_GBK" w:cs="方正仿宋_GBK"/>
                <w:b w:val="0"/>
                <w:bCs w:val="0"/>
                <w:kern w:val="0"/>
                <w:szCs w:val="21"/>
              </w:rPr>
            </w:pPr>
          </w:p>
        </w:tc>
        <w:tc>
          <w:tcPr>
            <w:tcW w:w="452" w:type="pct"/>
            <w:tcBorders>
              <w:top w:val="single" w:color="auto" w:sz="4" w:space="0"/>
              <w:left w:val="single" w:color="auto" w:sz="4" w:space="0"/>
              <w:bottom w:val="single" w:color="auto" w:sz="4" w:space="0"/>
              <w:right w:val="single" w:color="auto" w:sz="4" w:space="0"/>
            </w:tcBorders>
            <w:noWrap w:val="0"/>
            <w:vAlign w:val="top"/>
          </w:tcPr>
          <w:p w14:paraId="23248BBC">
            <w:pPr>
              <w:spacing w:line="340" w:lineRule="exact"/>
              <w:jc w:val="center"/>
              <w:rPr>
                <w:rFonts w:hint="default" w:ascii="方正仿宋_GBK" w:hAnsi="方正仿宋_GBK" w:eastAsia="方正仿宋_GBK" w:cs="方正仿宋_GBK"/>
                <w:b w:val="0"/>
                <w:bCs w:val="0"/>
                <w:kern w:val="0"/>
                <w:szCs w:val="21"/>
                <w:lang w:val="en-US" w:eastAsia="zh-CN"/>
              </w:rPr>
            </w:pPr>
            <w:r>
              <w:rPr>
                <w:rFonts w:hint="eastAsia" w:ascii="方正仿宋_GBK" w:hAnsi="方正仿宋_GBK" w:eastAsia="方正仿宋_GBK" w:cs="方正仿宋_GBK"/>
                <w:b w:val="0"/>
                <w:bCs w:val="0"/>
                <w:kern w:val="0"/>
                <w:szCs w:val="21"/>
                <w:lang w:val="en-US" w:eastAsia="zh-CN"/>
              </w:rPr>
              <w:t>23</w:t>
            </w:r>
          </w:p>
        </w:tc>
        <w:tc>
          <w:tcPr>
            <w:tcW w:w="1522" w:type="pct"/>
            <w:tcBorders>
              <w:top w:val="single" w:color="auto" w:sz="4" w:space="0"/>
              <w:left w:val="single" w:color="auto" w:sz="4" w:space="0"/>
              <w:bottom w:val="single" w:color="auto" w:sz="4" w:space="0"/>
              <w:right w:val="single" w:color="auto" w:sz="4" w:space="0"/>
            </w:tcBorders>
            <w:noWrap w:val="0"/>
            <w:vAlign w:val="top"/>
          </w:tcPr>
          <w:p w14:paraId="6ADEA311">
            <w:pPr>
              <w:spacing w:line="340" w:lineRule="exact"/>
              <w:rPr>
                <w:rFonts w:hint="eastAsia" w:ascii="方正仿宋_GBK" w:hAnsi="方正仿宋_GBK" w:eastAsia="方正仿宋_GBK" w:cs="方正仿宋_GBK"/>
                <w:b w:val="0"/>
                <w:bCs w:val="0"/>
                <w:kern w:val="0"/>
                <w:szCs w:val="21"/>
                <w:lang w:eastAsia="zh-CN"/>
              </w:rPr>
            </w:pPr>
            <w:r>
              <w:rPr>
                <w:rFonts w:hint="eastAsia" w:ascii="方正仿宋_GBK" w:hAnsi="方正仿宋_GBK" w:eastAsia="方正仿宋_GBK" w:cs="方正仿宋_GBK"/>
                <w:b w:val="0"/>
                <w:bCs w:val="0"/>
                <w:kern w:val="0"/>
                <w:szCs w:val="21"/>
                <w:lang w:eastAsia="zh-CN"/>
              </w:rPr>
              <w:t>社会声誉度</w:t>
            </w:r>
          </w:p>
        </w:tc>
        <w:tc>
          <w:tcPr>
            <w:tcW w:w="789"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459EE447">
            <w:pPr>
              <w:spacing w:line="340" w:lineRule="exact"/>
              <w:jc w:val="center"/>
              <w:rPr>
                <w:rFonts w:ascii="Times New Roman" w:hAnsi="Times New Roman" w:eastAsia="仿宋_GB2312" w:cs="Times New Roman"/>
                <w:b w:val="0"/>
                <w:bCs w:val="0"/>
                <w:kern w:val="0"/>
                <w:sz w:val="21"/>
                <w:szCs w:val="21"/>
                <w:lang w:val="en-US" w:eastAsia="zh-CN" w:bidi="ar-SA"/>
              </w:rPr>
            </w:pPr>
            <w:r>
              <w:rPr>
                <w:rFonts w:hint="eastAsia" w:ascii="宋体" w:hAnsi="宋体" w:eastAsia="宋体" w:cs="宋体"/>
                <w:b/>
                <w:bCs/>
                <w:color w:val="000000"/>
                <w:kern w:val="0"/>
                <w:sz w:val="24"/>
              </w:rPr>
              <w:t>√</w:t>
            </w:r>
          </w:p>
        </w:tc>
        <w:tc>
          <w:tcPr>
            <w:tcW w:w="831" w:type="pct"/>
            <w:tcBorders>
              <w:top w:val="single" w:color="auto" w:sz="4" w:space="0"/>
              <w:left w:val="single" w:color="auto" w:sz="4" w:space="0"/>
              <w:bottom w:val="single" w:color="auto" w:sz="4" w:space="0"/>
              <w:right w:val="single" w:color="auto" w:sz="4" w:space="0"/>
            </w:tcBorders>
            <w:noWrap w:val="0"/>
            <w:vAlign w:val="center"/>
          </w:tcPr>
          <w:p w14:paraId="71539D93">
            <w:pPr>
              <w:spacing w:line="340" w:lineRule="exact"/>
              <w:rPr>
                <w:rFonts w:ascii="Times New Roman" w:hAnsi="Times New Roman" w:eastAsia="仿宋_GB2312" w:cs="Times New Roman"/>
                <w:b w:val="0"/>
                <w:bCs w:val="0"/>
                <w:kern w:val="0"/>
                <w:szCs w:val="21"/>
              </w:rPr>
            </w:pPr>
          </w:p>
        </w:tc>
      </w:tr>
    </w:tbl>
    <w:p w14:paraId="23CCBC2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4811B9B9">
      <w:pPr>
        <w:spacing w:after="120" w:afterLines="50"/>
        <w:ind w:right="-231" w:rightChars="-110"/>
      </w:pPr>
    </w:p>
    <w:sectPr>
      <w:footerReference r:id="rId3" w:type="default"/>
      <w:pgSz w:w="11906" w:h="16838"/>
      <w:pgMar w:top="986" w:right="1576" w:bottom="986" w:left="1519"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7CFC10-70B1-4CA8-8AA1-8CFB43FA2E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泉驿微米黑">
    <w:altName w:val="黑体"/>
    <w:panose1 w:val="020B0606030804020204"/>
    <w:charset w:val="86"/>
    <w:family w:val="auto"/>
    <w:pitch w:val="default"/>
    <w:sig w:usb0="00000000" w:usb1="00000000" w:usb2="00800036" w:usb3="00000000" w:csb0="603E019F" w:csb1="DFD70000"/>
    <w:embedRegular r:id="rId2" w:fontKey="{214160C4-5A5B-407A-AF48-C6269428F3A7}"/>
  </w:font>
  <w:font w:name="仿宋_GB2312">
    <w:panose1 w:val="02010609030101010101"/>
    <w:charset w:val="86"/>
    <w:family w:val="modern"/>
    <w:pitch w:val="default"/>
    <w:sig w:usb0="00000001" w:usb1="080E0000" w:usb2="00000000" w:usb3="00000000" w:csb0="00040000" w:csb1="00000000"/>
    <w:embedRegular r:id="rId3" w:fontKey="{E448BD57-D171-4F8B-9EE3-7084D55329DE}"/>
  </w:font>
  <w:font w:name="Wingdings 2">
    <w:panose1 w:val="05020102010507070707"/>
    <w:charset w:val="02"/>
    <w:family w:val="auto"/>
    <w:pitch w:val="default"/>
    <w:sig w:usb0="00000000" w:usb1="00000000" w:usb2="00000000" w:usb3="00000000" w:csb0="80000000" w:csb1="00000000"/>
    <w:embedRegular r:id="rId4" w:fontKey="{ED491FF6-B40C-4D1D-837B-66B4082D2FDF}"/>
  </w:font>
  <w:font w:name="Segoe UI">
    <w:panose1 w:val="020B0502040204020203"/>
    <w:charset w:val="00"/>
    <w:family w:val="auto"/>
    <w:pitch w:val="default"/>
    <w:sig w:usb0="E4002EFF" w:usb1="C000E47F" w:usb2="00000009" w:usb3="00000000" w:csb0="200001FF" w:csb1="00000000"/>
    <w:embedRegular r:id="rId5" w:fontKey="{9DAD9116-0ED8-48BA-BABE-8DCB4EC3D2F2}"/>
  </w:font>
  <w:font w:name="方正小标宋简体">
    <w:panose1 w:val="02000000000000000000"/>
    <w:charset w:val="86"/>
    <w:family w:val="script"/>
    <w:pitch w:val="default"/>
    <w:sig w:usb0="00000001" w:usb1="08000000" w:usb2="00000000" w:usb3="00000000" w:csb0="00040000" w:csb1="00000000"/>
    <w:embedRegular r:id="rId6" w:fontKey="{BD62AB7B-F2A9-4F2E-BFCE-FC2766C4CE29}"/>
  </w:font>
  <w:font w:name="方正楷体_GBK">
    <w:panose1 w:val="02000000000000000000"/>
    <w:charset w:val="86"/>
    <w:family w:val="auto"/>
    <w:pitch w:val="default"/>
    <w:sig w:usb0="800002BF" w:usb1="38CF7CFA" w:usb2="00000016" w:usb3="00000000" w:csb0="00040000" w:csb1="00000000"/>
    <w:embedRegular r:id="rId7" w:fontKey="{BD19E7EC-1A00-4069-923D-852E1FC65644}"/>
  </w:font>
  <w:font w:name="方正仿宋_GBK">
    <w:panose1 w:val="02000000000000000000"/>
    <w:charset w:val="86"/>
    <w:family w:val="auto"/>
    <w:pitch w:val="default"/>
    <w:sig w:usb0="A00002BF" w:usb1="38CF7CFA" w:usb2="00082016" w:usb3="00000000" w:csb0="00040001" w:csb1="00000000"/>
    <w:embedRegular r:id="rId8" w:fontKey="{E5664744-8EC7-4054-A323-24F160A4452A}"/>
  </w:font>
  <w:font w:name="WPSEMBED7">
    <w:panose1 w:val="02000000000000000000"/>
    <w:charset w:val="86"/>
    <w:family w:val="auto"/>
    <w:pitch w:val="default"/>
    <w:sig w:usb0="800002BF" w:usb1="38CF7CFA" w:usb2="00000016" w:usb3="00000000" w:csb0="00040000" w:csb1="00000000"/>
  </w:font>
  <w:font w:name="WPSEMBED8">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BCB0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B40C8"/>
    <w:rsid w:val="024A470B"/>
    <w:rsid w:val="02A33589"/>
    <w:rsid w:val="05F61781"/>
    <w:rsid w:val="087B3EA7"/>
    <w:rsid w:val="0F6B11F6"/>
    <w:rsid w:val="10BF2224"/>
    <w:rsid w:val="125971C8"/>
    <w:rsid w:val="12D71199"/>
    <w:rsid w:val="12FB3F33"/>
    <w:rsid w:val="138D4967"/>
    <w:rsid w:val="13962794"/>
    <w:rsid w:val="13FFE5F2"/>
    <w:rsid w:val="14722AE9"/>
    <w:rsid w:val="14AF20BA"/>
    <w:rsid w:val="169C660B"/>
    <w:rsid w:val="170F61FF"/>
    <w:rsid w:val="17B648CC"/>
    <w:rsid w:val="18877F4D"/>
    <w:rsid w:val="18B43502"/>
    <w:rsid w:val="19482115"/>
    <w:rsid w:val="1B0D0CA7"/>
    <w:rsid w:val="1CFF245E"/>
    <w:rsid w:val="20054736"/>
    <w:rsid w:val="227B5090"/>
    <w:rsid w:val="23F32643"/>
    <w:rsid w:val="26FC3805"/>
    <w:rsid w:val="281A0A1A"/>
    <w:rsid w:val="28542496"/>
    <w:rsid w:val="29C008B8"/>
    <w:rsid w:val="2A067935"/>
    <w:rsid w:val="2DDD45F4"/>
    <w:rsid w:val="2F59B703"/>
    <w:rsid w:val="3346318E"/>
    <w:rsid w:val="34FAA78C"/>
    <w:rsid w:val="3CFB3F3F"/>
    <w:rsid w:val="3D9213B2"/>
    <w:rsid w:val="3ED12142"/>
    <w:rsid w:val="3F16E056"/>
    <w:rsid w:val="3F301756"/>
    <w:rsid w:val="3FBF0580"/>
    <w:rsid w:val="426B6130"/>
    <w:rsid w:val="42B75F8B"/>
    <w:rsid w:val="43670FED"/>
    <w:rsid w:val="43CA545D"/>
    <w:rsid w:val="472111F4"/>
    <w:rsid w:val="47E80E1C"/>
    <w:rsid w:val="47F941DE"/>
    <w:rsid w:val="48203F7B"/>
    <w:rsid w:val="48334FAE"/>
    <w:rsid w:val="490D6193"/>
    <w:rsid w:val="4ABE583B"/>
    <w:rsid w:val="4AFB6DA0"/>
    <w:rsid w:val="4F06477D"/>
    <w:rsid w:val="53D02297"/>
    <w:rsid w:val="586E1F34"/>
    <w:rsid w:val="591C41D0"/>
    <w:rsid w:val="5D26561D"/>
    <w:rsid w:val="5FE71111"/>
    <w:rsid w:val="61E44F1F"/>
    <w:rsid w:val="63253C81"/>
    <w:rsid w:val="64B923AE"/>
    <w:rsid w:val="68110487"/>
    <w:rsid w:val="697A2F79"/>
    <w:rsid w:val="6C0905E4"/>
    <w:rsid w:val="6EC832DB"/>
    <w:rsid w:val="7073427E"/>
    <w:rsid w:val="72527742"/>
    <w:rsid w:val="760342F6"/>
    <w:rsid w:val="76751525"/>
    <w:rsid w:val="78FD502C"/>
    <w:rsid w:val="793D5436"/>
    <w:rsid w:val="7AFB40C8"/>
    <w:rsid w:val="7C8021FC"/>
    <w:rsid w:val="7DBC81A9"/>
    <w:rsid w:val="7F52DEAD"/>
    <w:rsid w:val="7FEF60C4"/>
    <w:rsid w:val="8DFA64AD"/>
    <w:rsid w:val="9FDFF92E"/>
    <w:rsid w:val="A3FB2961"/>
    <w:rsid w:val="EDF64FFD"/>
    <w:rsid w:val="FE7705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d9643f91-5bbc-4648-8353-70b77ef119cb</errorID>
      <errorWord>：</errorWord>
      <group>L1_Format</group>
      <groupName>格式问题</groupName>
      <ability>L2_HalfPunc_CN</ability>
      <abilityName>全半角问题</abilityName>
      <candidateList>
        <item>:</item>
      </candidateList>
      <explain>文本全半角错误。</explain>
      <paraID>40D3EEAB</paraID>
      <start>47</start>
      <end>48</end>
      <status>unmodified</status>
      <modifiedWord/>
      <trackRevisions>false</trackRevisions>
    </reviewItem>
    <reviewItem>
      <errorID>d9e2dfc3-7a40-40e1-a0fb-2474274fadb3</errorID>
      <errorWord>其它</errorWord>
      <group>L1_Word</group>
      <groupName>字词问题</groupName>
      <ability>L2_Alias</ability>
      <abilityName>也作/曾用词</abilityName>
      <candidateList>
        <item>其他</item>
      </candidateList>
      <explain>词汇[其它]为不规范表述或旧称，其规范书面表述为[其他]。</explain>
      <paraID>2EAE053A</paraID>
      <start>14</start>
      <end>16</end>
      <status>unmodified</status>
      <modifiedWord/>
      <trackRevisions>false</trackRevisions>
    </reviewItem>
    <reviewItem>
      <errorID>a272b659-665e-47bb-8ced-bfd120e03a37</errorID>
      <errorWord>意识形态责任制</errorWord>
      <group>L1_Political</group>
      <groupName>政治性问题</groupName>
      <ability>L2_Keyword</ability>
      <abilityName>固定表述</abilityName>
      <candidateList>
        <item>意识形态工作责任制</item>
      </candidateList>
      <explain>词汇“意识形态工作责任制”在特定场景下为固定表述形式，请确认此处的“意识形态责任制”是否存在不当。</explain>
      <paraID>3BBF3D1C</paraID>
      <start>86</start>
      <end>93</end>
      <status>unmodified</status>
      <modifiedWord/>
      <trackRevisions>false</trackRevisions>
    </reviewItem>
    <reviewItem>
      <errorID>25012a23-ef4c-4e67-9faf-70bcfc4ab5de</errorID>
      <errorWord>-</errorWord>
      <group>L1_Format</group>
      <groupName>格式问题</groupName>
      <ability>L2_HalfPunc_CN</ability>
      <abilityName>全半角问题</abilityName>
      <candidateList>
        <item>－</item>
      </candidateList>
      <explain>文本全半角错误。</explain>
      <paraID>2FCA9F9A</paraID>
      <start>161</start>
      <end>162</end>
      <status>unmodified</status>
      <modifiedWord/>
      <trackRevisions>false</trackRevisions>
    </reviewItem>
    <reviewItem>
      <errorID>01cc16d5-76f5-4a34-80a5-543066c449b6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2FCA9F9A</paraID>
      <start>165</start>
      <end>166</end>
      <status>unmodified</status>
      <modifiedWord/>
      <trackRevisions>false</trackRevisions>
    </reviewItem>
    <reviewItem>
      <errorID>442ba4e7-781a-4b87-986d-7679c263bd57</errorID>
      <errorWord>意识形态责任制</errorWord>
      <group>L1_Political</group>
      <groupName>政治性问题</groupName>
      <ability>L2_Keyword</ability>
      <abilityName>固定表述</abilityName>
      <candidateList>
        <item>意识形态工作责任制</item>
      </candidateList>
      <explain>词汇“意识形态工作责任制”在特定场景下为固定表述形式，请确认此处的“意识形态责任制”是否存在不当。</explain>
      <paraID>2BA4FB15</paraID>
      <start>17</start>
      <end>24</end>
      <status>unmodified</status>
      <modifiedWord/>
      <trackRevisions>false</trackRevisions>
    </reviewItem>
    <reviewItem>
      <errorID>c63869a9-e343-4bb3-8d25-842304b37500</errorID>
      <errorWord>特色社会主义思想作为</errorWord>
      <group>L1_Word</group>
      <groupName>字词问题</groupName>
      <ability>L2_Typo</ability>
      <abilityName>字词错误</abilityName>
      <candidateList>
        <item>特色社会主义思想为</item>
      </candidateList>
      <explain/>
      <paraID>6426C4BC</paraID>
      <start>20</start>
      <end>30</end>
      <status>unmodified</status>
      <modifiedWord/>
      <trackRevisions>false</trackRevisions>
    </reviewItem>
    <reviewItem>
      <errorID>af441a97-2d7f-4d05-928a-bfafbf73989b</errorID>
      <errorWord>同头</errorWord>
      <group>L1_Word</group>
      <groupName>字词问题</groupName>
      <ability>L2_Typo</ability>
      <abilityName>字词错误</abilityName>
      <candidateList>
        <item>同堂</item>
      </candidateList>
      <explain/>
      <paraID>4AF831C8</paraID>
      <start>96</start>
      <end>98</end>
      <status>unmodified</status>
      <modifiedWord/>
      <trackRevisions>false</trackRevisions>
    </reviewItem>
    <reviewItem>
      <errorID>99a1acd3-3d39-4f86-a0c7-889529864c04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22C41E9E</paraID>
      <start>24</start>
      <end>27</end>
      <status>unmodified</status>
      <modifiedWord/>
      <trackRevisions>false</trackRevisions>
    </reviewItem>
    <reviewItem>
      <errorID>9aef6e22-ce1f-48b8-a5e5-665ec9c743fb</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4E201A36</paraID>
      <start>52</start>
      <end>56</end>
      <status>unmodified</status>
      <modifiedWord/>
      <trackRevisions>false</trackRevisions>
    </reviewItem>
    <reviewItem>
      <errorID>1665d6fe-bffd-44fa-b563-54876c9b78a8</errorID>
      <errorWord>(</errorWord>
      <group>L1_Format</group>
      <groupName>格式问题</groupName>
      <ability>L2_HalfPunc_CN</ability>
      <abilityName>全半角问题</abilityName>
      <candidateList>
        <item>（</item>
      </candidateList>
      <explain>文本全半角错误。</explain>
      <paraID>6FE90586</paraID>
      <start>67</start>
      <end>68</end>
      <status>modified</status>
      <modifiedWord>（</modifiedWord>
      <trackRevisions>false</trackRevisions>
    </reviewItem>
    <reviewItem>
      <errorID>ea246002-8126-437f-8b64-aebfcbf47118</errorID>
      <errorWord>)</errorWord>
      <group>L1_Format</group>
      <groupName>格式问题</groupName>
      <ability>L2_HalfPunc_CN</ability>
      <abilityName>全半角问题</abilityName>
      <candidateList>
        <item>）</item>
      </candidateList>
      <explain>文本全半角错误。</explain>
      <paraID>6FE90586</paraID>
      <start>70</start>
      <end>71</end>
      <status>modified</status>
      <modifiedWord>）</modifiedWord>
      <trackRevisions>false</trackRevisions>
    </reviewItem>
    <reviewItem>
      <errorID>f4f8fb9b-340f-43f3-87c0-475adec93036</errorID>
      <errorWord>(</errorWord>
      <group>L1_Format</group>
      <groupName>格式问题</groupName>
      <ability>L2_HalfPunc_CN</ability>
      <abilityName>全半角问题</abilityName>
      <candidateList>
        <item>（</item>
      </candidateList>
      <explain>文本全半角错误。</explain>
      <paraID>21E64BF0</paraID>
      <start>69</start>
      <end>70</end>
      <status>modified</status>
      <modifiedWord>（</modifiedWord>
      <trackRevisions>false</trackRevisions>
    </reviewItem>
    <reviewItem>
      <errorID>47fb8a33-ae2f-4646-82b7-9c586454c55e</errorID>
      <errorWord>)</errorWord>
      <group>L1_Format</group>
      <groupName>格式问题</groupName>
      <ability>L2_HalfPunc_CN</ability>
      <abilityName>全半角问题</abilityName>
      <candidateList>
        <item>）</item>
      </candidateList>
      <explain>文本全半角错误。</explain>
      <paraID>21E64BF0</paraID>
      <start>72</start>
      <end>73</end>
      <status>modified</status>
      <modifiedWord>）</modifiedWord>
      <trackRevisions>false</trackRevisions>
    </reviewItem>
    <reviewItem>
      <errorID>09ad386e-ff3c-445d-8474-702df5586bfc</errorID>
      <errorWord>拓展</errorWord>
      <group>L1_Grammar</group>
      <groupName>语法问题</groupName>
      <ability>L2_Grammar</ability>
      <abilityName>语法错误</abilityName>
      <candidateList>
        <item>拓宽</item>
      </candidateList>
      <explain>“拓展～视野”搭配不当，建议修改为“拓宽～视野”。</explain>
      <paraID>1BE0BEB0</paraID>
      <start>196</start>
      <end>198</end>
      <status>modified</status>
      <modifiedWord>拓宽</modifiedWord>
      <trackRevisions>false</trackRevisions>
    </reviewItem>
  </reviewItems>
  <config/>
</contractReview>
</file>

<file path=customXml/itemProps1.xml><?xml version="1.0" encoding="utf-8"?>
<ds:datastoreItem xmlns:ds="http://schemas.openxmlformats.org/officeDocument/2006/customXml" ds:itemID="{85a79530-fa05-43d4-8e59-299ba602f8c5}">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1709</Words>
  <Characters>1920</Characters>
  <Lines>0</Lines>
  <Paragraphs>0</Paragraphs>
  <TotalTime>9</TotalTime>
  <ScaleCrop>false</ScaleCrop>
  <LinksUpToDate>false</LinksUpToDate>
  <CharactersWithSpaces>2165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2024-08-13T12:25:00Z</dcterms:created>
  <dc:creator>sjyt</dc:creator>
  <cp:lastModifiedBy>小熊</cp:lastModifiedBy>
  <cp:lastPrinted>2025-12-12T17:20:00Z</cp:lastPrinted>
  <dcterms:modified xsi:type="dcterms:W3CDTF">2026-07-02T07:40:55Z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D88CC70787484DD9BA0C1B2216720323_13</vt:lpwstr>
  </property>
  <property fmtid="{D5CDD505-2E9C-101B-9397-08002B2CF9AE}" pid="4" name="KSOTemplateDocerSaveRecord">
    <vt:lpwstr>eyJoZGlkIjoiNTZlNGFmMmVjZDVlMjNkZDg3ODA2ZDVmOTM1NjI0ZjYiLCJ1c2VySWQiOiI1MjQ0MzMxMzgifQ==</vt:lpwstr>
  </property>
</Properties>
</file>